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2D77" w:rsidRPr="001D5B4B" w:rsidRDefault="001D5B4B" w:rsidP="001D5B4B">
      <w:pPr>
        <w:shd w:val="clear" w:color="auto" w:fill="F4F3F3"/>
        <w:spacing w:after="100" w:afterAutospacing="1" w:line="240" w:lineRule="auto"/>
        <w:ind w:left="-851"/>
        <w:jc w:val="center"/>
        <w:rPr>
          <w:rFonts w:ascii="Times New Roman" w:eastAsia="Times New Roman" w:hAnsi="Times New Roman" w:cs="Times New Roman"/>
          <w:color w:val="212529"/>
          <w:spacing w:val="-3"/>
          <w:sz w:val="32"/>
          <w:szCs w:val="32"/>
          <w:lang w:eastAsia="ru-RU"/>
        </w:rPr>
      </w:pPr>
      <w:r w:rsidRPr="001D5B4B">
        <w:rPr>
          <w:rFonts w:ascii="Times New Roman" w:hAnsi="Times New Roman" w:cs="Times New Roman"/>
          <w:b/>
          <w:sz w:val="32"/>
          <w:szCs w:val="32"/>
        </w:rPr>
        <w:t>Экономика замкнутого цикла</w:t>
      </w:r>
      <w:r w:rsidR="00862D77" w:rsidRPr="001D5B4B">
        <w:rPr>
          <w:rFonts w:ascii="Times New Roman" w:eastAsia="Times New Roman" w:hAnsi="Times New Roman" w:cs="Times New Roman"/>
          <w:color w:val="212529"/>
          <w:spacing w:val="-3"/>
          <w:sz w:val="32"/>
          <w:szCs w:val="32"/>
          <w:lang w:eastAsia="ru-RU"/>
        </w:rPr>
        <w:t>.</w:t>
      </w:r>
      <w:bookmarkStart w:id="0" w:name="_GoBack"/>
      <w:bookmarkEnd w:id="0"/>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Экономика замкнутого цикла </w:t>
      </w:r>
      <w:r w:rsidRPr="001D5B4B">
        <w:rPr>
          <w:rFonts w:ascii="Times New Roman" w:hAnsi="Times New Roman" w:cs="Times New Roman"/>
          <w:b/>
          <w:bCs/>
          <w:sz w:val="24"/>
          <w:szCs w:val="24"/>
          <w:lang w:eastAsia="ru-RU"/>
        </w:rPr>
        <w:t>снижает</w:t>
      </w:r>
      <w:r w:rsidRPr="001D5B4B">
        <w:rPr>
          <w:rFonts w:ascii="Times New Roman" w:hAnsi="Times New Roman" w:cs="Times New Roman"/>
          <w:sz w:val="24"/>
          <w:szCs w:val="24"/>
          <w:lang w:eastAsia="ru-RU"/>
        </w:rPr>
        <w:t> потребность в ресурсах, извлекаемых из природы, поскольку она гарантирует, что продукция будет </w:t>
      </w:r>
      <w:r w:rsidRPr="001D5B4B">
        <w:rPr>
          <w:rFonts w:ascii="Times New Roman" w:hAnsi="Times New Roman" w:cs="Times New Roman"/>
          <w:b/>
          <w:bCs/>
          <w:sz w:val="24"/>
          <w:szCs w:val="24"/>
          <w:lang w:eastAsia="ru-RU"/>
        </w:rPr>
        <w:t>использоваться повторно</w:t>
      </w:r>
      <w:r w:rsidRPr="001D5B4B">
        <w:rPr>
          <w:rFonts w:ascii="Times New Roman" w:hAnsi="Times New Roman" w:cs="Times New Roman"/>
          <w:sz w:val="24"/>
          <w:szCs w:val="24"/>
          <w:lang w:eastAsia="ru-RU"/>
        </w:rPr>
        <w:t> как можно больше раз, а материалы будут </w:t>
      </w:r>
      <w:r w:rsidRPr="001D5B4B">
        <w:rPr>
          <w:rFonts w:ascii="Times New Roman" w:hAnsi="Times New Roman" w:cs="Times New Roman"/>
          <w:b/>
          <w:bCs/>
          <w:sz w:val="24"/>
          <w:szCs w:val="24"/>
          <w:lang w:eastAsia="ru-RU"/>
        </w:rPr>
        <w:t>перерабатываться</w:t>
      </w:r>
      <w:r w:rsidRPr="001D5B4B">
        <w:rPr>
          <w:rFonts w:ascii="Times New Roman" w:hAnsi="Times New Roman" w:cs="Times New Roman"/>
          <w:sz w:val="24"/>
          <w:szCs w:val="24"/>
          <w:lang w:eastAsia="ru-RU"/>
        </w:rPr>
        <w:t>. Ресурсы и энергия больше не будут пропадать впустую, поскольку ненужные побочные продукты одного экономического процесса будут отправляться в другой процесс, создавая бесконечный поток.</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Когда продукция переходит от одного человека к другому, а использованные материалы снова попадают в цепочку создания стоимости, потребителям и компаниям нужна </w:t>
      </w:r>
      <w:r w:rsidRPr="001D5B4B">
        <w:rPr>
          <w:rFonts w:ascii="Times New Roman" w:hAnsi="Times New Roman" w:cs="Times New Roman"/>
          <w:b/>
          <w:bCs/>
          <w:sz w:val="24"/>
          <w:szCs w:val="24"/>
          <w:lang w:eastAsia="ru-RU"/>
        </w:rPr>
        <w:t>уверенность</w:t>
      </w:r>
      <w:r w:rsidRPr="001D5B4B">
        <w:rPr>
          <w:rFonts w:ascii="Times New Roman" w:hAnsi="Times New Roman" w:cs="Times New Roman"/>
          <w:sz w:val="24"/>
          <w:szCs w:val="24"/>
          <w:lang w:eastAsia="ru-RU"/>
        </w:rPr>
        <w:t>: Являются ли товары по-прежнему безопасными и, как и раньше, попадают к потребителю неповрежденными? Рассчитаны ли они на длительный срок службы?</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Именно здесь на помощь приходят стандарты ИСO и инструменты для оценки соответствия. В то время как стандарты устойчивости определяют </w:t>
      </w:r>
      <w:r w:rsidRPr="001D5B4B">
        <w:rPr>
          <w:rFonts w:ascii="Times New Roman" w:hAnsi="Times New Roman" w:cs="Times New Roman"/>
          <w:b/>
          <w:bCs/>
          <w:sz w:val="24"/>
          <w:szCs w:val="24"/>
          <w:lang w:eastAsia="ru-RU"/>
        </w:rPr>
        <w:t>требования</w:t>
      </w:r>
      <w:r w:rsidRPr="001D5B4B">
        <w:rPr>
          <w:rFonts w:ascii="Times New Roman" w:hAnsi="Times New Roman" w:cs="Times New Roman"/>
          <w:sz w:val="24"/>
          <w:szCs w:val="24"/>
          <w:lang w:eastAsia="ru-RU"/>
        </w:rPr>
        <w:t> в соответствии с принципами экономики замкнутого цикла, такие как долговечность, возможность повторного использования, модернизация или ремонтопригодность, оценка соответствия предлагает инструменты для демонстрации выполнения данных требований.</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xml:space="preserve">Стандарты оценки соответствия, так называемый инструментарий CASCO, предоставляют </w:t>
      </w:r>
      <w:proofErr w:type="spellStart"/>
      <w:r w:rsidRPr="001D5B4B">
        <w:rPr>
          <w:rFonts w:ascii="Times New Roman" w:hAnsi="Times New Roman" w:cs="Times New Roman"/>
          <w:sz w:val="24"/>
          <w:szCs w:val="24"/>
          <w:lang w:eastAsia="ru-RU"/>
        </w:rPr>
        <w:t>международно</w:t>
      </w:r>
      <w:proofErr w:type="spellEnd"/>
      <w:r w:rsidRPr="001D5B4B">
        <w:rPr>
          <w:rFonts w:ascii="Times New Roman" w:hAnsi="Times New Roman" w:cs="Times New Roman"/>
          <w:sz w:val="24"/>
          <w:szCs w:val="24"/>
          <w:lang w:eastAsia="ru-RU"/>
        </w:rPr>
        <w:t xml:space="preserve"> признанные инструменты для обеспечения </w:t>
      </w:r>
      <w:r w:rsidRPr="001D5B4B">
        <w:rPr>
          <w:rFonts w:ascii="Times New Roman" w:hAnsi="Times New Roman" w:cs="Times New Roman"/>
          <w:b/>
          <w:bCs/>
          <w:sz w:val="24"/>
          <w:szCs w:val="24"/>
          <w:lang w:eastAsia="ru-RU"/>
        </w:rPr>
        <w:t>компетентной</w:t>
      </w:r>
      <w:r w:rsidRPr="001D5B4B">
        <w:rPr>
          <w:rFonts w:ascii="Times New Roman" w:hAnsi="Times New Roman" w:cs="Times New Roman"/>
          <w:sz w:val="24"/>
          <w:szCs w:val="24"/>
          <w:lang w:eastAsia="ru-RU"/>
        </w:rPr>
        <w:t>, </w:t>
      </w:r>
      <w:r w:rsidRPr="001D5B4B">
        <w:rPr>
          <w:rFonts w:ascii="Times New Roman" w:hAnsi="Times New Roman" w:cs="Times New Roman"/>
          <w:b/>
          <w:bCs/>
          <w:sz w:val="24"/>
          <w:szCs w:val="24"/>
          <w:lang w:eastAsia="ru-RU"/>
        </w:rPr>
        <w:t>последовательной </w:t>
      </w:r>
      <w:r w:rsidRPr="001D5B4B">
        <w:rPr>
          <w:rFonts w:ascii="Times New Roman" w:hAnsi="Times New Roman" w:cs="Times New Roman"/>
          <w:sz w:val="24"/>
          <w:szCs w:val="24"/>
          <w:lang w:eastAsia="ru-RU"/>
        </w:rPr>
        <w:t>и </w:t>
      </w:r>
      <w:r w:rsidRPr="001D5B4B">
        <w:rPr>
          <w:rFonts w:ascii="Times New Roman" w:hAnsi="Times New Roman" w:cs="Times New Roman"/>
          <w:b/>
          <w:bCs/>
          <w:sz w:val="24"/>
          <w:szCs w:val="24"/>
          <w:lang w:eastAsia="ru-RU"/>
        </w:rPr>
        <w:t>надежной </w:t>
      </w:r>
      <w:r w:rsidRPr="001D5B4B">
        <w:rPr>
          <w:rFonts w:ascii="Times New Roman" w:hAnsi="Times New Roman" w:cs="Times New Roman"/>
          <w:sz w:val="24"/>
          <w:szCs w:val="24"/>
          <w:lang w:eastAsia="ru-RU"/>
        </w:rPr>
        <w:t>оценки соответствия.</w:t>
      </w:r>
    </w:p>
    <w:p w:rsidR="00862D77" w:rsidRPr="001D5B4B" w:rsidRDefault="00862D77" w:rsidP="001D5B4B">
      <w:pPr>
        <w:pStyle w:val="a8"/>
        <w:ind w:left="-993"/>
        <w:jc w:val="both"/>
        <w:rPr>
          <w:rFonts w:ascii="Times New Roman" w:hAnsi="Times New Roman" w:cs="Times New Roman"/>
          <w:spacing w:val="-16"/>
          <w:sz w:val="24"/>
          <w:szCs w:val="24"/>
          <w:lang w:eastAsia="ru-RU"/>
        </w:rPr>
      </w:pPr>
      <w:r w:rsidRPr="001D5B4B">
        <w:rPr>
          <w:rFonts w:ascii="Times New Roman" w:hAnsi="Times New Roman" w:cs="Times New Roman"/>
          <w:spacing w:val="-16"/>
          <w:sz w:val="24"/>
          <w:szCs w:val="24"/>
          <w:lang w:eastAsia="ru-RU"/>
        </w:rPr>
        <w:t>Инструменты для меняющейся мировой экономики: стандарты и оценка соответствия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Мало кто мог предположить, насколько сильно изменится мир всего за несколько десятилетий. В XXI веке мы имеем дело со сложным сочетанием социальных, экологических, рыночных и технологических тенденций.</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Как предприятия и правительства могут адаптироваться и развиваться, постоянно сталкиваясь с неопределенностью? Стандарты и оценка соответствия являются частью решения самых сложных проблем сегодняшнего дня.</w:t>
      </w:r>
    </w:p>
    <w:p w:rsidR="00862D77" w:rsidRPr="001D5B4B" w:rsidRDefault="00862D77" w:rsidP="001D5B4B">
      <w:pPr>
        <w:pStyle w:val="a8"/>
        <w:ind w:left="-993"/>
        <w:jc w:val="both"/>
        <w:rPr>
          <w:rFonts w:ascii="Times New Roman" w:hAnsi="Times New Roman" w:cs="Times New Roman"/>
          <w:color w:val="333333"/>
          <w:sz w:val="24"/>
          <w:szCs w:val="24"/>
          <w:lang w:eastAsia="ru-RU"/>
        </w:rPr>
      </w:pPr>
      <w:r w:rsidRPr="001D5B4B">
        <w:rPr>
          <w:rFonts w:ascii="Times New Roman" w:hAnsi="Times New Roman" w:cs="Times New Roman"/>
          <w:color w:val="333333"/>
          <w:sz w:val="24"/>
          <w:szCs w:val="24"/>
          <w:lang w:eastAsia="ru-RU"/>
        </w:rPr>
        <w:t>Почти все секторы и отрасли промышленности прямо или косвенно подвергаются угрозе негативного влияния на них последствий изменения климата. Принятая в сентябре 2021 года </w:t>
      </w:r>
      <w:hyperlink r:id="rId5" w:tooltip="The London Declaration - ISO's climate commitment" w:history="1">
        <w:r w:rsidRPr="001D5B4B">
          <w:rPr>
            <w:rFonts w:ascii="Times New Roman" w:hAnsi="Times New Roman" w:cs="Times New Roman"/>
            <w:color w:val="E3000F"/>
            <w:sz w:val="24"/>
            <w:szCs w:val="24"/>
            <w:u w:val="single"/>
            <w:lang w:eastAsia="ru-RU"/>
          </w:rPr>
          <w:t>Лондонская декларация</w:t>
        </w:r>
      </w:hyperlink>
      <w:r w:rsidRPr="001D5B4B">
        <w:rPr>
          <w:rFonts w:ascii="Times New Roman" w:hAnsi="Times New Roman" w:cs="Times New Roman"/>
          <w:color w:val="333333"/>
          <w:sz w:val="24"/>
          <w:szCs w:val="24"/>
          <w:lang w:eastAsia="ru-RU"/>
        </w:rPr>
        <w:t> определяет приверженность ИСО к действиям в области борьбы с изменением климата. Портфель стандартов ИСО помогает организациям оценить последствия быстро меняющегося климата и разработать планы эффективных действий по противостоянию или адаптации к ним.</w:t>
      </w:r>
    </w:p>
    <w:p w:rsidR="00862D77" w:rsidRPr="001D5B4B" w:rsidRDefault="00862D77" w:rsidP="001D5B4B">
      <w:pPr>
        <w:pStyle w:val="a8"/>
        <w:ind w:left="-993"/>
        <w:jc w:val="both"/>
        <w:rPr>
          <w:rFonts w:ascii="Times New Roman" w:hAnsi="Times New Roman" w:cs="Times New Roman"/>
          <w:color w:val="333333"/>
          <w:sz w:val="24"/>
          <w:szCs w:val="24"/>
          <w:lang w:eastAsia="ru-RU"/>
        </w:rPr>
      </w:pPr>
      <w:r w:rsidRPr="001D5B4B">
        <w:rPr>
          <w:rFonts w:ascii="Times New Roman" w:hAnsi="Times New Roman" w:cs="Times New Roman"/>
          <w:color w:val="333333"/>
          <w:sz w:val="24"/>
          <w:szCs w:val="24"/>
          <w:lang w:eastAsia="ru-RU"/>
        </w:rPr>
        <w:t>В основе действий по борьбе с изменением климата лежит экономика замкнутого цикла. Известно, что сегодняшние неустойчивые модели производства и потребления приводят к </w:t>
      </w:r>
      <w:r w:rsidRPr="001D5B4B">
        <w:rPr>
          <w:rFonts w:ascii="Times New Roman" w:hAnsi="Times New Roman" w:cs="Times New Roman"/>
          <w:b/>
          <w:bCs/>
          <w:color w:val="333333"/>
          <w:sz w:val="24"/>
          <w:szCs w:val="24"/>
          <w:lang w:eastAsia="ru-RU"/>
        </w:rPr>
        <w:t>деградации окружающей среды</w:t>
      </w:r>
      <w:r w:rsidRPr="001D5B4B">
        <w:rPr>
          <w:rFonts w:ascii="Times New Roman" w:hAnsi="Times New Roman" w:cs="Times New Roman"/>
          <w:color w:val="333333"/>
          <w:sz w:val="24"/>
          <w:szCs w:val="24"/>
          <w:lang w:eastAsia="ru-RU"/>
        </w:rPr>
        <w:t>, </w:t>
      </w:r>
      <w:r w:rsidRPr="001D5B4B">
        <w:rPr>
          <w:rFonts w:ascii="Times New Roman" w:hAnsi="Times New Roman" w:cs="Times New Roman"/>
          <w:b/>
          <w:bCs/>
          <w:color w:val="333333"/>
          <w:sz w:val="24"/>
          <w:szCs w:val="24"/>
          <w:lang w:eastAsia="ru-RU"/>
        </w:rPr>
        <w:t>истощению ресурсов</w:t>
      </w:r>
      <w:r w:rsidRPr="001D5B4B">
        <w:rPr>
          <w:rFonts w:ascii="Times New Roman" w:hAnsi="Times New Roman" w:cs="Times New Roman"/>
          <w:color w:val="333333"/>
          <w:sz w:val="24"/>
          <w:szCs w:val="24"/>
          <w:lang w:eastAsia="ru-RU"/>
        </w:rPr>
        <w:t> и накоплению отходов, усиливая при этом </w:t>
      </w:r>
      <w:r w:rsidRPr="001D5B4B">
        <w:rPr>
          <w:rFonts w:ascii="Times New Roman" w:hAnsi="Times New Roman" w:cs="Times New Roman"/>
          <w:b/>
          <w:bCs/>
          <w:color w:val="333333"/>
          <w:sz w:val="24"/>
          <w:szCs w:val="24"/>
          <w:lang w:eastAsia="ru-RU"/>
        </w:rPr>
        <w:t>неравенство между странами</w:t>
      </w:r>
      <w:r w:rsidRPr="001D5B4B">
        <w:rPr>
          <w:rFonts w:ascii="Times New Roman" w:hAnsi="Times New Roman" w:cs="Times New Roman"/>
          <w:color w:val="333333"/>
          <w:sz w:val="24"/>
          <w:szCs w:val="24"/>
          <w:lang w:eastAsia="ru-RU"/>
        </w:rPr>
        <w:t>. Существует настоятельная необходимость перехода к более круговой модели, которая переопределяет экономику на основе </w:t>
      </w:r>
      <w:r w:rsidRPr="001D5B4B">
        <w:rPr>
          <w:rFonts w:ascii="Times New Roman" w:hAnsi="Times New Roman" w:cs="Times New Roman"/>
          <w:b/>
          <w:bCs/>
          <w:color w:val="333333"/>
          <w:sz w:val="24"/>
          <w:szCs w:val="24"/>
          <w:lang w:eastAsia="ru-RU"/>
        </w:rPr>
        <w:t>принципа проектирования, исключающего отходы и загрязнение</w:t>
      </w:r>
      <w:r w:rsidRPr="001D5B4B">
        <w:rPr>
          <w:rFonts w:ascii="Times New Roman" w:hAnsi="Times New Roman" w:cs="Times New Roman"/>
          <w:color w:val="333333"/>
          <w:sz w:val="24"/>
          <w:szCs w:val="24"/>
          <w:lang w:eastAsia="ru-RU"/>
        </w:rPr>
        <w:t>, и </w:t>
      </w:r>
      <w:r w:rsidRPr="001D5B4B">
        <w:rPr>
          <w:rFonts w:ascii="Times New Roman" w:hAnsi="Times New Roman" w:cs="Times New Roman"/>
          <w:b/>
          <w:bCs/>
          <w:color w:val="333333"/>
          <w:sz w:val="24"/>
          <w:szCs w:val="24"/>
          <w:lang w:eastAsia="ru-RU"/>
        </w:rPr>
        <w:t>сохранения продуктов и материалов в использовании как можно дольше</w:t>
      </w:r>
      <w:r w:rsidRPr="001D5B4B">
        <w:rPr>
          <w:rFonts w:ascii="Times New Roman" w:hAnsi="Times New Roman" w:cs="Times New Roman"/>
          <w:color w:val="333333"/>
          <w:sz w:val="24"/>
          <w:szCs w:val="24"/>
          <w:lang w:eastAsia="ru-RU"/>
        </w:rPr>
        <w:t>.</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xml:space="preserve">Стандарты устойчивости с особым акцентом на экономику замкнутого цикла разрабатываются на </w:t>
      </w:r>
      <w:proofErr w:type="spellStart"/>
      <w:r w:rsidRPr="001D5B4B">
        <w:rPr>
          <w:rFonts w:ascii="Times New Roman" w:hAnsi="Times New Roman" w:cs="Times New Roman"/>
          <w:sz w:val="24"/>
          <w:szCs w:val="24"/>
          <w:lang w:eastAsia="ru-RU"/>
        </w:rPr>
        <w:t>страновом</w:t>
      </w:r>
      <w:proofErr w:type="spellEnd"/>
      <w:r w:rsidRPr="001D5B4B">
        <w:rPr>
          <w:rFonts w:ascii="Times New Roman" w:hAnsi="Times New Roman" w:cs="Times New Roman"/>
          <w:sz w:val="24"/>
          <w:szCs w:val="24"/>
          <w:lang w:eastAsia="ru-RU"/>
        </w:rPr>
        <w:t xml:space="preserve"> и глобальном уровнях рядом организаций, включая ИСO, через её технический комитет </w:t>
      </w:r>
      <w:hyperlink r:id="rId6" w:tooltip="ISO/TC 323 - Circular economy" w:history="1">
        <w:r w:rsidRPr="001D5B4B">
          <w:rPr>
            <w:rFonts w:ascii="Times New Roman" w:hAnsi="Times New Roman" w:cs="Times New Roman"/>
            <w:color w:val="0000FF"/>
            <w:sz w:val="24"/>
            <w:szCs w:val="24"/>
            <w:u w:val="single"/>
            <w:lang w:eastAsia="ru-RU"/>
          </w:rPr>
          <w:t>ИСO/TК 323</w:t>
        </w:r>
      </w:hyperlink>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Предпринимаются усилия по разработке </w:t>
      </w:r>
      <w:r w:rsidRPr="001D5B4B">
        <w:rPr>
          <w:rFonts w:ascii="Times New Roman" w:hAnsi="Times New Roman" w:cs="Times New Roman"/>
          <w:b/>
          <w:bCs/>
          <w:sz w:val="24"/>
          <w:szCs w:val="24"/>
          <w:lang w:eastAsia="ru-RU"/>
        </w:rPr>
        <w:t>стандартов экологического дизайна</w:t>
      </w:r>
      <w:r w:rsidRPr="001D5B4B">
        <w:rPr>
          <w:rFonts w:ascii="Times New Roman" w:hAnsi="Times New Roman" w:cs="Times New Roman"/>
          <w:sz w:val="24"/>
          <w:szCs w:val="24"/>
          <w:lang w:eastAsia="ru-RU"/>
        </w:rPr>
        <w:t>, которые учитывают </w:t>
      </w:r>
      <w:r w:rsidRPr="001D5B4B">
        <w:rPr>
          <w:rFonts w:ascii="Times New Roman" w:hAnsi="Times New Roman" w:cs="Times New Roman"/>
          <w:b/>
          <w:bCs/>
          <w:sz w:val="24"/>
          <w:szCs w:val="24"/>
          <w:lang w:eastAsia="ru-RU"/>
        </w:rPr>
        <w:t>устойчивое потребление материалов</w:t>
      </w:r>
      <w:r w:rsidRPr="001D5B4B">
        <w:rPr>
          <w:rFonts w:ascii="Times New Roman" w:hAnsi="Times New Roman" w:cs="Times New Roman"/>
          <w:sz w:val="24"/>
          <w:szCs w:val="24"/>
          <w:lang w:eastAsia="ru-RU"/>
        </w:rPr>
        <w:t>, </w:t>
      </w:r>
      <w:r w:rsidRPr="001D5B4B">
        <w:rPr>
          <w:rFonts w:ascii="Times New Roman" w:hAnsi="Times New Roman" w:cs="Times New Roman"/>
          <w:b/>
          <w:bCs/>
          <w:sz w:val="24"/>
          <w:szCs w:val="24"/>
          <w:lang w:eastAsia="ru-RU"/>
        </w:rPr>
        <w:t>энергии и других ресурсов на всех этапах процесса разработки продукции</w:t>
      </w:r>
      <w:r w:rsidRPr="001D5B4B">
        <w:rPr>
          <w:rFonts w:ascii="Times New Roman" w:hAnsi="Times New Roman" w:cs="Times New Roman"/>
          <w:sz w:val="24"/>
          <w:szCs w:val="24"/>
          <w:lang w:eastAsia="ru-RU"/>
        </w:rPr>
        <w:t>. Обеспечивая всеобъемлющий набор принципов, они будут рассматривать экологические факторы, такие как </w:t>
      </w:r>
      <w:r w:rsidRPr="001D5B4B">
        <w:rPr>
          <w:rFonts w:ascii="Times New Roman" w:hAnsi="Times New Roman" w:cs="Times New Roman"/>
          <w:b/>
          <w:bCs/>
          <w:sz w:val="24"/>
          <w:szCs w:val="24"/>
          <w:lang w:eastAsia="ru-RU"/>
        </w:rPr>
        <w:t>потребление ресурсов</w:t>
      </w:r>
      <w:r w:rsidRPr="001D5B4B">
        <w:rPr>
          <w:rFonts w:ascii="Times New Roman" w:hAnsi="Times New Roman" w:cs="Times New Roman"/>
          <w:sz w:val="24"/>
          <w:szCs w:val="24"/>
          <w:lang w:eastAsia="ru-RU"/>
        </w:rPr>
        <w:t> и энергии, </w:t>
      </w:r>
      <w:r w:rsidRPr="001D5B4B">
        <w:rPr>
          <w:rFonts w:ascii="Times New Roman" w:hAnsi="Times New Roman" w:cs="Times New Roman"/>
          <w:b/>
          <w:bCs/>
          <w:sz w:val="24"/>
          <w:szCs w:val="24"/>
          <w:lang w:eastAsia="ru-RU"/>
        </w:rPr>
        <w:t>выбросы</w:t>
      </w:r>
      <w:r w:rsidRPr="001D5B4B">
        <w:rPr>
          <w:rFonts w:ascii="Times New Roman" w:hAnsi="Times New Roman" w:cs="Times New Roman"/>
          <w:sz w:val="24"/>
          <w:szCs w:val="24"/>
          <w:lang w:eastAsia="ru-RU"/>
        </w:rPr>
        <w:t> в воздух, воду и почву, а также </w:t>
      </w:r>
      <w:r w:rsidRPr="001D5B4B">
        <w:rPr>
          <w:rFonts w:ascii="Times New Roman" w:hAnsi="Times New Roman" w:cs="Times New Roman"/>
          <w:b/>
          <w:bCs/>
          <w:sz w:val="24"/>
          <w:szCs w:val="24"/>
          <w:lang w:eastAsia="ru-RU"/>
        </w:rPr>
        <w:t>загрязнение</w:t>
      </w:r>
      <w:r w:rsidRPr="001D5B4B">
        <w:rPr>
          <w:rFonts w:ascii="Times New Roman" w:hAnsi="Times New Roman" w:cs="Times New Roman"/>
          <w:sz w:val="24"/>
          <w:szCs w:val="24"/>
          <w:lang w:eastAsia="ru-RU"/>
        </w:rPr>
        <w:t>, возникающее в результате шума, вибрации, радиации, электромагнитных полей и других физических воздействий.</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Также, вниманием не были обделены и</w:t>
      </w:r>
      <w:r w:rsidRPr="001D5B4B">
        <w:rPr>
          <w:rFonts w:ascii="Times New Roman" w:hAnsi="Times New Roman" w:cs="Times New Roman"/>
          <w:b/>
          <w:bCs/>
          <w:sz w:val="24"/>
          <w:szCs w:val="24"/>
          <w:lang w:eastAsia="ru-RU"/>
        </w:rPr>
        <w:t> отходы, образующиеся в процессе производства</w:t>
      </w:r>
      <w:r w:rsidRPr="001D5B4B">
        <w:rPr>
          <w:rFonts w:ascii="Times New Roman" w:hAnsi="Times New Roman" w:cs="Times New Roman"/>
          <w:sz w:val="24"/>
          <w:szCs w:val="24"/>
          <w:lang w:eastAsia="ru-RU"/>
        </w:rPr>
        <w:t>, и</w:t>
      </w:r>
      <w:r w:rsidRPr="001D5B4B">
        <w:rPr>
          <w:rFonts w:ascii="Times New Roman" w:hAnsi="Times New Roman" w:cs="Times New Roman"/>
          <w:b/>
          <w:bCs/>
          <w:sz w:val="24"/>
          <w:szCs w:val="24"/>
          <w:lang w:eastAsia="ru-RU"/>
        </w:rPr>
        <w:t> переработка</w:t>
      </w:r>
      <w:r w:rsidRPr="001D5B4B">
        <w:rPr>
          <w:rFonts w:ascii="Times New Roman" w:hAnsi="Times New Roman" w:cs="Times New Roman"/>
          <w:sz w:val="24"/>
          <w:szCs w:val="24"/>
          <w:lang w:eastAsia="ru-RU"/>
        </w:rPr>
        <w:t> (т.е. повторное использование и восстановление материалов и/или энергии). Также разрабатывается ряд проектных требований к </w:t>
      </w:r>
      <w:r w:rsidRPr="001D5B4B">
        <w:rPr>
          <w:rFonts w:ascii="Times New Roman" w:hAnsi="Times New Roman" w:cs="Times New Roman"/>
          <w:b/>
          <w:bCs/>
          <w:sz w:val="24"/>
          <w:szCs w:val="24"/>
          <w:lang w:eastAsia="ru-RU"/>
        </w:rPr>
        <w:t>долговечности</w:t>
      </w:r>
      <w:r w:rsidRPr="001D5B4B">
        <w:rPr>
          <w:rFonts w:ascii="Times New Roman" w:hAnsi="Times New Roman" w:cs="Times New Roman"/>
          <w:sz w:val="24"/>
          <w:szCs w:val="24"/>
          <w:lang w:eastAsia="ru-RU"/>
        </w:rPr>
        <w:t>, </w:t>
      </w:r>
      <w:r w:rsidRPr="001D5B4B">
        <w:rPr>
          <w:rFonts w:ascii="Times New Roman" w:hAnsi="Times New Roman" w:cs="Times New Roman"/>
          <w:b/>
          <w:bCs/>
          <w:sz w:val="24"/>
          <w:szCs w:val="24"/>
          <w:lang w:eastAsia="ru-RU"/>
        </w:rPr>
        <w:t>возможности повторного использования</w:t>
      </w:r>
      <w:r w:rsidRPr="001D5B4B">
        <w:rPr>
          <w:rFonts w:ascii="Times New Roman" w:hAnsi="Times New Roman" w:cs="Times New Roman"/>
          <w:sz w:val="24"/>
          <w:szCs w:val="24"/>
          <w:lang w:eastAsia="ru-RU"/>
        </w:rPr>
        <w:t>, </w:t>
      </w:r>
      <w:r w:rsidRPr="001D5B4B">
        <w:rPr>
          <w:rFonts w:ascii="Times New Roman" w:hAnsi="Times New Roman" w:cs="Times New Roman"/>
          <w:b/>
          <w:bCs/>
          <w:sz w:val="24"/>
          <w:szCs w:val="24"/>
          <w:lang w:eastAsia="ru-RU"/>
        </w:rPr>
        <w:t>модернизации</w:t>
      </w:r>
      <w:r w:rsidRPr="001D5B4B">
        <w:rPr>
          <w:rFonts w:ascii="Times New Roman" w:hAnsi="Times New Roman" w:cs="Times New Roman"/>
          <w:sz w:val="24"/>
          <w:szCs w:val="24"/>
          <w:lang w:eastAsia="ru-RU"/>
        </w:rPr>
        <w:t> и </w:t>
      </w:r>
      <w:r w:rsidRPr="001D5B4B">
        <w:rPr>
          <w:rFonts w:ascii="Times New Roman" w:hAnsi="Times New Roman" w:cs="Times New Roman"/>
          <w:b/>
          <w:bCs/>
          <w:sz w:val="24"/>
          <w:szCs w:val="24"/>
          <w:lang w:eastAsia="ru-RU"/>
        </w:rPr>
        <w:t>ремонтопригодности продукции</w:t>
      </w:r>
      <w:r w:rsidRPr="001D5B4B">
        <w:rPr>
          <w:rFonts w:ascii="Times New Roman" w:hAnsi="Times New Roman" w:cs="Times New Roman"/>
          <w:sz w:val="24"/>
          <w:szCs w:val="24"/>
          <w:lang w:eastAsia="ru-RU"/>
        </w:rPr>
        <w:t>, а также к </w:t>
      </w:r>
      <w:r w:rsidRPr="001D5B4B">
        <w:rPr>
          <w:rFonts w:ascii="Times New Roman" w:hAnsi="Times New Roman" w:cs="Times New Roman"/>
          <w:b/>
          <w:bCs/>
          <w:sz w:val="24"/>
          <w:szCs w:val="24"/>
          <w:lang w:eastAsia="ru-RU"/>
        </w:rPr>
        <w:t>возможности вторичной переработки</w:t>
      </w:r>
      <w:r w:rsidRPr="001D5B4B">
        <w:rPr>
          <w:rFonts w:ascii="Times New Roman" w:hAnsi="Times New Roman" w:cs="Times New Roman"/>
          <w:sz w:val="24"/>
          <w:szCs w:val="24"/>
          <w:lang w:eastAsia="ru-RU"/>
        </w:rPr>
        <w:t> таких устройств, как электронные дисплеи, торговые холодильные приборы, стиральные машины и пылесосы.</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lastRenderedPageBreak/>
        <w:t>Хотя существуют стандарты, охватывающие различные аспекты циркулярной экономики, оценка соответствия предлагает инструменты для демонстрации соответствия данным спецификациям и тем самым обеспечивает </w:t>
      </w:r>
      <w:r w:rsidRPr="001D5B4B">
        <w:rPr>
          <w:rFonts w:ascii="Times New Roman" w:hAnsi="Times New Roman" w:cs="Times New Roman"/>
          <w:b/>
          <w:bCs/>
          <w:sz w:val="24"/>
          <w:szCs w:val="24"/>
          <w:lang w:eastAsia="ru-RU"/>
        </w:rPr>
        <w:t>доверие и уверенность</w:t>
      </w:r>
      <w:r w:rsidRPr="001D5B4B">
        <w:rPr>
          <w:rFonts w:ascii="Times New Roman" w:hAnsi="Times New Roman" w:cs="Times New Roman"/>
          <w:sz w:val="24"/>
          <w:szCs w:val="24"/>
          <w:lang w:eastAsia="ru-RU"/>
        </w:rPr>
        <w:t> на рынке, что сейчас необходимо как никогда.</w:t>
      </w:r>
    </w:p>
    <w:p w:rsidR="00862D77" w:rsidRPr="001D5B4B" w:rsidRDefault="00862D77" w:rsidP="001D5B4B">
      <w:pPr>
        <w:pStyle w:val="a8"/>
        <w:ind w:left="-993"/>
        <w:jc w:val="both"/>
        <w:rPr>
          <w:rFonts w:ascii="Times New Roman" w:hAnsi="Times New Roman" w:cs="Times New Roman"/>
          <w:spacing w:val="-11"/>
          <w:sz w:val="24"/>
          <w:szCs w:val="24"/>
          <w:lang w:eastAsia="ru-RU"/>
        </w:rPr>
      </w:pPr>
      <w:r w:rsidRPr="001D5B4B">
        <w:rPr>
          <w:rFonts w:ascii="Times New Roman" w:hAnsi="Times New Roman" w:cs="Times New Roman"/>
          <w:spacing w:val="-11"/>
          <w:sz w:val="24"/>
          <w:szCs w:val="24"/>
          <w:lang w:eastAsia="ru-RU"/>
        </w:rPr>
        <w:t>Подпишитесь на обновления по электронной почте</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Зарегистрируйтесь, чтобы получить доступ к дополнительным ресурсам и последним новостям об устойчивом развитии и экологических стандартах!</w:t>
      </w:r>
    </w:p>
    <w:p w:rsidR="00862D77" w:rsidRPr="001D5B4B" w:rsidRDefault="00862D77" w:rsidP="001D5B4B">
      <w:pPr>
        <w:pStyle w:val="a8"/>
        <w:ind w:left="-993"/>
        <w:jc w:val="both"/>
        <w:rPr>
          <w:rFonts w:ascii="Times New Roman" w:hAnsi="Times New Roman" w:cs="Times New Roman"/>
          <w:vanish/>
          <w:sz w:val="24"/>
          <w:szCs w:val="24"/>
          <w:lang w:eastAsia="ru-RU"/>
        </w:rPr>
      </w:pPr>
      <w:r w:rsidRPr="001D5B4B">
        <w:rPr>
          <w:rFonts w:ascii="Times New Roman" w:hAnsi="Times New Roman" w:cs="Times New Roman"/>
          <w:vanish/>
          <w:sz w:val="24"/>
          <w:szCs w:val="24"/>
          <w:lang w:eastAsia="ru-RU"/>
        </w:rPr>
        <w:t>Начало формы</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1in;height:18pt" o:ole="">
            <v:imagedata r:id="rId7" o:title=""/>
          </v:shape>
          <w:control r:id="rId8" w:name="DefaultOcxName" w:shapeid="_x0000_i1060"/>
        </w:object>
      </w:r>
      <w:r w:rsidRPr="001D5B4B">
        <w:rPr>
          <w:rFonts w:ascii="Times New Roman" w:hAnsi="Times New Roman" w:cs="Times New Roman"/>
          <w:sz w:val="24"/>
          <w:szCs w:val="24"/>
          <w:lang w:eastAsia="ru-RU"/>
        </w:rPr>
        <w:t>Подписаться *</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Информационный бюллетень на английском языке</w:t>
      </w:r>
    </w:p>
    <w:p w:rsidR="00862D77" w:rsidRPr="001D5B4B" w:rsidRDefault="00862D77" w:rsidP="001D5B4B">
      <w:pPr>
        <w:pStyle w:val="a8"/>
        <w:ind w:left="-993"/>
        <w:jc w:val="both"/>
        <w:rPr>
          <w:rFonts w:ascii="Times New Roman" w:hAnsi="Times New Roman" w:cs="Times New Roman"/>
          <w:vanish/>
          <w:sz w:val="24"/>
          <w:szCs w:val="24"/>
          <w:lang w:eastAsia="ru-RU"/>
        </w:rPr>
      </w:pPr>
      <w:r w:rsidRPr="001D5B4B">
        <w:rPr>
          <w:rFonts w:ascii="Times New Roman" w:hAnsi="Times New Roman" w:cs="Times New Roman"/>
          <w:vanish/>
          <w:sz w:val="24"/>
          <w:szCs w:val="24"/>
          <w:lang w:eastAsia="ru-RU"/>
        </w:rPr>
        <w:t>Конец формы</w:t>
      </w:r>
    </w:p>
    <w:p w:rsidR="00862D77" w:rsidRPr="001D5B4B" w:rsidRDefault="00862D77" w:rsidP="001D5B4B">
      <w:pPr>
        <w:pStyle w:val="a8"/>
        <w:ind w:left="-993"/>
        <w:jc w:val="both"/>
        <w:rPr>
          <w:rFonts w:ascii="Times New Roman" w:hAnsi="Times New Roman" w:cs="Times New Roman"/>
          <w:sz w:val="24"/>
          <w:szCs w:val="24"/>
          <w:lang w:val="en-US" w:eastAsia="ru-RU"/>
        </w:rPr>
      </w:pPr>
      <w:r w:rsidRPr="001D5B4B">
        <w:rPr>
          <w:rFonts w:ascii="Times New Roman" w:hAnsi="Times New Roman" w:cs="Times New Roman"/>
          <w:sz w:val="24"/>
          <w:szCs w:val="24"/>
          <w:lang w:val="en-US" w:eastAsia="ru-RU"/>
        </w:rPr>
        <w:t xml:space="preserve">How your data will be </w:t>
      </w:r>
      <w:proofErr w:type="gramStart"/>
      <w:r w:rsidRPr="001D5B4B">
        <w:rPr>
          <w:rFonts w:ascii="Times New Roman" w:hAnsi="Times New Roman" w:cs="Times New Roman"/>
          <w:sz w:val="24"/>
          <w:szCs w:val="24"/>
          <w:lang w:val="en-US" w:eastAsia="ru-RU"/>
        </w:rPr>
        <w:t>used</w:t>
      </w:r>
      <w:proofErr w:type="gramEnd"/>
    </w:p>
    <w:p w:rsidR="00862D77" w:rsidRPr="001D5B4B" w:rsidRDefault="00862D77" w:rsidP="001D5B4B">
      <w:pPr>
        <w:pStyle w:val="a8"/>
        <w:ind w:left="-993"/>
        <w:jc w:val="both"/>
        <w:rPr>
          <w:rFonts w:ascii="Times New Roman" w:hAnsi="Times New Roman" w:cs="Times New Roman"/>
          <w:spacing w:val="-16"/>
          <w:sz w:val="24"/>
          <w:szCs w:val="24"/>
          <w:lang w:eastAsia="ru-RU"/>
        </w:rPr>
      </w:pPr>
      <w:r w:rsidRPr="001D5B4B">
        <w:rPr>
          <w:rFonts w:ascii="Times New Roman" w:hAnsi="Times New Roman" w:cs="Times New Roman"/>
          <w:spacing w:val="-16"/>
          <w:sz w:val="24"/>
          <w:szCs w:val="24"/>
          <w:lang w:eastAsia="ru-RU"/>
        </w:rPr>
        <w:t>Что такое экономика замкнутого цикла?</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Обещая изменить существующую экономическую парадигму, циркулярная экономика становится новым подходом к достижению </w:t>
      </w:r>
      <w:r w:rsidRPr="001D5B4B">
        <w:rPr>
          <w:rFonts w:ascii="Times New Roman" w:hAnsi="Times New Roman" w:cs="Times New Roman"/>
          <w:b/>
          <w:bCs/>
          <w:sz w:val="24"/>
          <w:szCs w:val="24"/>
          <w:lang w:eastAsia="ru-RU"/>
        </w:rPr>
        <w:t>устойчивого экономического развития</w:t>
      </w:r>
      <w:r w:rsidRPr="001D5B4B">
        <w:rPr>
          <w:rFonts w:ascii="Times New Roman" w:hAnsi="Times New Roman" w:cs="Times New Roman"/>
          <w:sz w:val="24"/>
          <w:szCs w:val="24"/>
          <w:lang w:eastAsia="ru-RU"/>
        </w:rPr>
        <w:t>. Это требует </w:t>
      </w:r>
      <w:r w:rsidRPr="001D5B4B">
        <w:rPr>
          <w:rFonts w:ascii="Times New Roman" w:hAnsi="Times New Roman" w:cs="Times New Roman"/>
          <w:b/>
          <w:bCs/>
          <w:sz w:val="24"/>
          <w:szCs w:val="24"/>
          <w:lang w:eastAsia="ru-RU"/>
        </w:rPr>
        <w:t>радикального изменения моделей производства и потребления</w:t>
      </w:r>
      <w:r w:rsidRPr="001D5B4B">
        <w:rPr>
          <w:rFonts w:ascii="Times New Roman" w:hAnsi="Times New Roman" w:cs="Times New Roman"/>
          <w:sz w:val="24"/>
          <w:szCs w:val="24"/>
          <w:lang w:eastAsia="ru-RU"/>
        </w:rPr>
        <w:t>, подкрепленного целым рядом </w:t>
      </w:r>
      <w:r w:rsidRPr="001D5B4B">
        <w:rPr>
          <w:rFonts w:ascii="Times New Roman" w:hAnsi="Times New Roman" w:cs="Times New Roman"/>
          <w:b/>
          <w:bCs/>
          <w:sz w:val="24"/>
          <w:szCs w:val="24"/>
          <w:lang w:eastAsia="ru-RU"/>
        </w:rPr>
        <w:t>новых государственных мер</w:t>
      </w:r>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Экономика замкнутого цикла включает в себя </w:t>
      </w:r>
      <w:r w:rsidRPr="001D5B4B">
        <w:rPr>
          <w:rFonts w:ascii="Times New Roman" w:hAnsi="Times New Roman" w:cs="Times New Roman"/>
          <w:b/>
          <w:bCs/>
          <w:sz w:val="24"/>
          <w:szCs w:val="24"/>
          <w:lang w:eastAsia="ru-RU"/>
        </w:rPr>
        <w:t>меры по созданию более коротких замкнутых циклов материалов и энергии</w:t>
      </w:r>
      <w:r w:rsidRPr="001D5B4B">
        <w:rPr>
          <w:rFonts w:ascii="Times New Roman" w:hAnsi="Times New Roman" w:cs="Times New Roman"/>
          <w:sz w:val="24"/>
          <w:szCs w:val="24"/>
          <w:lang w:eastAsia="ru-RU"/>
        </w:rPr>
        <w:t>, которые:</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b/>
          <w:bCs/>
          <w:sz w:val="24"/>
          <w:szCs w:val="24"/>
          <w:lang w:eastAsia="ru-RU"/>
        </w:rPr>
        <w:t>Минимизируют загрязнение и отходы</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b/>
          <w:bCs/>
          <w:sz w:val="24"/>
          <w:szCs w:val="24"/>
          <w:lang w:eastAsia="ru-RU"/>
        </w:rPr>
        <w:t>Продлевают жизненный цикл продукции</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b/>
          <w:bCs/>
          <w:sz w:val="24"/>
          <w:szCs w:val="24"/>
          <w:lang w:eastAsia="ru-RU"/>
        </w:rPr>
        <w:t>Обеспечивают широкое совместное использование природных активов</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Процесс замкнутого цикла должен охватывать как материальные, так и нематериальные требования, включая устойчивость глобальной цепочки создания стоимости на основе таких аспектов, как торговля, экономические факторы, корпоративная ответственность, труд, здоровье и права человека. Оценка соответствия дает уверенность по конкретным аспектам, таким как безопасность, эффективность, ремонтопригодность, долговечность, возможность модернизации, переработка и повторное использование - все они способствуют прочности круга.</w:t>
      </w:r>
    </w:p>
    <w:p w:rsidR="00862D77" w:rsidRPr="001D5B4B" w:rsidRDefault="00862D77" w:rsidP="001D5B4B">
      <w:pPr>
        <w:pStyle w:val="a8"/>
        <w:ind w:left="-993"/>
        <w:jc w:val="both"/>
        <w:rPr>
          <w:rFonts w:ascii="Times New Roman" w:hAnsi="Times New Roman" w:cs="Times New Roman"/>
          <w:spacing w:val="-16"/>
          <w:sz w:val="24"/>
          <w:szCs w:val="24"/>
          <w:lang w:eastAsia="ru-RU"/>
        </w:rPr>
      </w:pPr>
      <w:r w:rsidRPr="001D5B4B">
        <w:rPr>
          <w:rFonts w:ascii="Times New Roman" w:hAnsi="Times New Roman" w:cs="Times New Roman"/>
          <w:spacing w:val="-16"/>
          <w:sz w:val="24"/>
          <w:szCs w:val="24"/>
          <w:lang w:eastAsia="ru-RU"/>
        </w:rPr>
        <w:t>Оценка соответствия и инструментарий CASCО</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Оценка соответствия показывает, отвечает ли продукт, услуга, процесс, система, а иногда претензия или лицо, соответствующим требованиям. </w:t>
      </w:r>
      <w:r w:rsidRPr="001D5B4B">
        <w:rPr>
          <w:rFonts w:ascii="Times New Roman" w:hAnsi="Times New Roman" w:cs="Times New Roman"/>
          <w:b/>
          <w:bCs/>
          <w:sz w:val="24"/>
          <w:szCs w:val="24"/>
          <w:lang w:eastAsia="ru-RU"/>
        </w:rPr>
        <w:t>Определенные правила и процедуры</w:t>
      </w:r>
      <w:r w:rsidRPr="001D5B4B">
        <w:rPr>
          <w:rFonts w:ascii="Times New Roman" w:hAnsi="Times New Roman" w:cs="Times New Roman"/>
          <w:sz w:val="24"/>
          <w:szCs w:val="24"/>
          <w:lang w:eastAsia="ru-RU"/>
        </w:rPr>
        <w:t> применяются для демонстрации выполнения таких </w:t>
      </w:r>
      <w:r w:rsidRPr="001D5B4B">
        <w:rPr>
          <w:rFonts w:ascii="Times New Roman" w:hAnsi="Times New Roman" w:cs="Times New Roman"/>
          <w:b/>
          <w:bCs/>
          <w:sz w:val="24"/>
          <w:szCs w:val="24"/>
          <w:lang w:eastAsia="ru-RU"/>
        </w:rPr>
        <w:t>требований</w:t>
      </w:r>
      <w:r w:rsidRPr="001D5B4B">
        <w:rPr>
          <w:rFonts w:ascii="Times New Roman" w:hAnsi="Times New Roman" w:cs="Times New Roman"/>
          <w:sz w:val="24"/>
          <w:szCs w:val="24"/>
          <w:lang w:eastAsia="ru-RU"/>
        </w:rPr>
        <w:t>, которые указаны в стандартах, правилах, контрактах, программах или других нормативных документах.</w:t>
      </w:r>
    </w:p>
    <w:p w:rsidR="00862D77" w:rsidRPr="001D5B4B" w:rsidRDefault="00862D77" w:rsidP="001D5B4B">
      <w:pPr>
        <w:pStyle w:val="a8"/>
        <w:ind w:left="-993"/>
        <w:jc w:val="both"/>
        <w:rPr>
          <w:rFonts w:ascii="Times New Roman" w:hAnsi="Times New Roman" w:cs="Times New Roman"/>
          <w:color w:val="9C2B42"/>
          <w:sz w:val="24"/>
          <w:szCs w:val="24"/>
          <w:lang w:eastAsia="ru-RU"/>
        </w:rPr>
      </w:pPr>
      <w:r w:rsidRPr="001D5B4B">
        <w:rPr>
          <w:rFonts w:ascii="Times New Roman" w:hAnsi="Times New Roman" w:cs="Times New Roman"/>
          <w:color w:val="9C2B42"/>
          <w:sz w:val="24"/>
          <w:szCs w:val="24"/>
          <w:lang w:eastAsia="ru-RU"/>
        </w:rPr>
        <w:t>Оценка соответствия обеспечивает уверенность в том, что определенные потребности или ожидания выполняются в полной мере.</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Деятельность по оценке соответствия осуществляется </w:t>
      </w:r>
      <w:r w:rsidRPr="001D5B4B">
        <w:rPr>
          <w:rFonts w:ascii="Times New Roman" w:hAnsi="Times New Roman" w:cs="Times New Roman"/>
          <w:b/>
          <w:bCs/>
          <w:sz w:val="24"/>
          <w:szCs w:val="24"/>
          <w:lang w:eastAsia="ru-RU"/>
        </w:rPr>
        <w:t>органами по оценке соответствия (ООС)</w:t>
      </w:r>
      <w:r w:rsidRPr="001D5B4B">
        <w:rPr>
          <w:rFonts w:ascii="Times New Roman" w:hAnsi="Times New Roman" w:cs="Times New Roman"/>
          <w:sz w:val="24"/>
          <w:szCs w:val="24"/>
          <w:lang w:eastAsia="ru-RU"/>
        </w:rPr>
        <w:t>. Они обычно делятся на категории в зависимости от их деятельности, сферы применения и уровня независимости:</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w:t>
      </w:r>
      <w:r w:rsidRPr="001D5B4B">
        <w:rPr>
          <w:rFonts w:ascii="Times New Roman" w:hAnsi="Times New Roman" w:cs="Times New Roman"/>
          <w:b/>
          <w:bCs/>
          <w:sz w:val="24"/>
          <w:szCs w:val="24"/>
          <w:lang w:eastAsia="ru-RU"/>
        </w:rPr>
        <w:t>Деятельность третьей стороны</w:t>
      </w:r>
      <w:r w:rsidRPr="001D5B4B">
        <w:rPr>
          <w:rFonts w:ascii="Times New Roman" w:hAnsi="Times New Roman" w:cs="Times New Roman"/>
          <w:sz w:val="24"/>
          <w:szCs w:val="24"/>
          <w:lang w:eastAsia="ru-RU"/>
        </w:rPr>
        <w:t>": деятельность по оценке соответствия, осуществляемая органом, который не зависит от поставщика оцениваемого объекта и не имеет пользовательской заинтересованности в объекте.</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w:t>
      </w:r>
      <w:r w:rsidRPr="001D5B4B">
        <w:rPr>
          <w:rFonts w:ascii="Times New Roman" w:hAnsi="Times New Roman" w:cs="Times New Roman"/>
          <w:b/>
          <w:bCs/>
          <w:sz w:val="24"/>
          <w:szCs w:val="24"/>
          <w:lang w:eastAsia="ru-RU"/>
        </w:rPr>
        <w:t>Деятельность первой стороны</w:t>
      </w:r>
      <w:r w:rsidRPr="001D5B4B">
        <w:rPr>
          <w:rFonts w:ascii="Times New Roman" w:hAnsi="Times New Roman" w:cs="Times New Roman"/>
          <w:sz w:val="24"/>
          <w:szCs w:val="24"/>
          <w:lang w:eastAsia="ru-RU"/>
        </w:rPr>
        <w:t>": деятельность по оценке соответствия, осуществляемая поставщиком объекта оценки</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w:t>
      </w:r>
      <w:r w:rsidRPr="001D5B4B">
        <w:rPr>
          <w:rFonts w:ascii="Times New Roman" w:hAnsi="Times New Roman" w:cs="Times New Roman"/>
          <w:b/>
          <w:bCs/>
          <w:sz w:val="24"/>
          <w:szCs w:val="24"/>
          <w:lang w:eastAsia="ru-RU"/>
        </w:rPr>
        <w:t>Деятельность второй стороны</w:t>
      </w:r>
      <w:r w:rsidRPr="001D5B4B">
        <w:rPr>
          <w:rFonts w:ascii="Times New Roman" w:hAnsi="Times New Roman" w:cs="Times New Roman"/>
          <w:sz w:val="24"/>
          <w:szCs w:val="24"/>
          <w:lang w:eastAsia="ru-RU"/>
        </w:rPr>
        <w:t>": деятельность по оценке соответствия, осуществляемая организациями, имеющими пользовательские интересы.</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Для того чтобы </w:t>
      </w:r>
      <w:r w:rsidRPr="001D5B4B">
        <w:rPr>
          <w:rFonts w:ascii="Times New Roman" w:hAnsi="Times New Roman" w:cs="Times New Roman"/>
          <w:b/>
          <w:bCs/>
          <w:sz w:val="24"/>
          <w:szCs w:val="24"/>
          <w:lang w:eastAsia="ru-RU"/>
        </w:rPr>
        <w:t>убедиться, что ООС компетентна и ей можно доверять</w:t>
      </w:r>
      <w:r w:rsidRPr="001D5B4B">
        <w:rPr>
          <w:rFonts w:ascii="Times New Roman" w:hAnsi="Times New Roman" w:cs="Times New Roman"/>
          <w:sz w:val="24"/>
          <w:szCs w:val="24"/>
          <w:lang w:eastAsia="ru-RU"/>
        </w:rPr>
        <w:t>, данные организации полагаются на стандарты, которые можно найти в </w:t>
      </w:r>
      <w:hyperlink r:id="rId9" w:anchor="section-activity" w:tooltip="Standards published by CASCO, the  ISO committee on conformity assessment" w:history="1">
        <w:r w:rsidRPr="001D5B4B">
          <w:rPr>
            <w:rFonts w:ascii="Times New Roman" w:hAnsi="Times New Roman" w:cs="Times New Roman"/>
            <w:b/>
            <w:bCs/>
            <w:color w:val="0000FF"/>
            <w:sz w:val="24"/>
            <w:szCs w:val="24"/>
            <w:lang w:eastAsia="ru-RU"/>
          </w:rPr>
          <w:t>серии стандартов ISO/IEC 17000</w:t>
        </w:r>
      </w:hyperlink>
      <w:r w:rsidRPr="001D5B4B">
        <w:rPr>
          <w:rFonts w:ascii="Times New Roman" w:hAnsi="Times New Roman" w:cs="Times New Roman"/>
          <w:sz w:val="24"/>
          <w:szCs w:val="24"/>
          <w:lang w:eastAsia="ru-RU"/>
        </w:rPr>
        <w:t> для оценки соответствия, так называемом инструментарии CASCO. Некоторые из данных стандартов более подробно описаны ниже. Они содержат </w:t>
      </w:r>
      <w:r w:rsidRPr="001D5B4B">
        <w:rPr>
          <w:rFonts w:ascii="Times New Roman" w:hAnsi="Times New Roman" w:cs="Times New Roman"/>
          <w:b/>
          <w:bCs/>
          <w:sz w:val="24"/>
          <w:szCs w:val="24"/>
          <w:lang w:eastAsia="ru-RU"/>
        </w:rPr>
        <w:t>требования к компетентности, беспристрастности и последовательной работе</w:t>
      </w:r>
      <w:r w:rsidRPr="001D5B4B">
        <w:rPr>
          <w:rFonts w:ascii="Times New Roman" w:hAnsi="Times New Roman" w:cs="Times New Roman"/>
          <w:sz w:val="24"/>
          <w:szCs w:val="24"/>
          <w:lang w:eastAsia="ru-RU"/>
        </w:rPr>
        <w:t>, которые служат основой для признания надежности ООС.</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Виды деятельности по оценке соответствия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Многие виды деятельности по оценке соответствия могут обеспечить уверенность экономическим субъектам в процессе перехода к экономике замкнутого цикла. Наиболее актуальными являются следующие из них:</w:t>
      </w:r>
    </w:p>
    <w:p w:rsidR="00862D77" w:rsidRPr="001D5B4B" w:rsidRDefault="00862D77" w:rsidP="001D5B4B">
      <w:pPr>
        <w:pStyle w:val="a8"/>
        <w:ind w:left="-993"/>
        <w:jc w:val="both"/>
        <w:rPr>
          <w:rFonts w:ascii="Times New Roman" w:hAnsi="Times New Roman" w:cs="Times New Roman"/>
          <w:spacing w:val="-11"/>
          <w:sz w:val="24"/>
          <w:szCs w:val="24"/>
          <w:lang w:eastAsia="ru-RU"/>
        </w:rPr>
      </w:pPr>
      <w:r w:rsidRPr="001D5B4B">
        <w:rPr>
          <w:rFonts w:ascii="Times New Roman" w:hAnsi="Times New Roman" w:cs="Times New Roman"/>
          <w:spacing w:val="-11"/>
          <w:sz w:val="24"/>
          <w:szCs w:val="24"/>
          <w:lang w:eastAsia="ru-RU"/>
        </w:rPr>
        <w:t>Испытания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lastRenderedPageBreak/>
        <w:t>Испытания - это процесс, используемый для определения характеристик объекта испытаний или образца (объекта оценки соответствия) в соответствии с процедурой. Требования к испытательным и калибровочным лабораториям определены в </w:t>
      </w:r>
      <w:hyperlink r:id="rId10" w:tooltip="ISO/IEC 17025:2017 - General requirements for the competence of testing and calibration laboratories" w:history="1">
        <w:r w:rsidRPr="001D5B4B">
          <w:rPr>
            <w:rFonts w:ascii="Times New Roman" w:hAnsi="Times New Roman" w:cs="Times New Roman"/>
            <w:color w:val="0000FF"/>
            <w:sz w:val="24"/>
            <w:szCs w:val="24"/>
            <w:u w:val="single"/>
            <w:lang w:eastAsia="ru-RU"/>
          </w:rPr>
          <w:t>стандарте ISO/IEC 17025</w:t>
        </w:r>
      </w:hyperlink>
      <w:r w:rsidRPr="001D5B4B">
        <w:rPr>
          <w:rFonts w:ascii="Times New Roman" w:hAnsi="Times New Roman" w:cs="Times New Roman"/>
          <w:sz w:val="24"/>
          <w:szCs w:val="24"/>
          <w:lang w:eastAsia="ru-RU"/>
        </w:rPr>
        <w:t>, который позволяет </w:t>
      </w:r>
      <w:r w:rsidRPr="001D5B4B">
        <w:rPr>
          <w:rFonts w:ascii="Times New Roman" w:hAnsi="Times New Roman" w:cs="Times New Roman"/>
          <w:b/>
          <w:bCs/>
          <w:sz w:val="24"/>
          <w:szCs w:val="24"/>
          <w:lang w:eastAsia="ru-RU"/>
        </w:rPr>
        <w:t>лабораториям</w:t>
      </w:r>
      <w:r w:rsidRPr="001D5B4B">
        <w:rPr>
          <w:rFonts w:ascii="Times New Roman" w:hAnsi="Times New Roman" w:cs="Times New Roman"/>
          <w:sz w:val="24"/>
          <w:szCs w:val="24"/>
          <w:lang w:eastAsia="ru-RU"/>
        </w:rPr>
        <w:t> продемонстрировать, что они </w:t>
      </w:r>
      <w:r w:rsidRPr="001D5B4B">
        <w:rPr>
          <w:rFonts w:ascii="Times New Roman" w:hAnsi="Times New Roman" w:cs="Times New Roman"/>
          <w:b/>
          <w:bCs/>
          <w:sz w:val="24"/>
          <w:szCs w:val="24"/>
          <w:lang w:eastAsia="ru-RU"/>
        </w:rPr>
        <w:t>технически компетентны</w:t>
      </w:r>
      <w:r w:rsidRPr="001D5B4B">
        <w:rPr>
          <w:rFonts w:ascii="Times New Roman" w:hAnsi="Times New Roman" w:cs="Times New Roman"/>
          <w:sz w:val="24"/>
          <w:szCs w:val="24"/>
          <w:lang w:eastAsia="ru-RU"/>
        </w:rPr>
        <w:t>, </w:t>
      </w:r>
      <w:r w:rsidRPr="001D5B4B">
        <w:rPr>
          <w:rFonts w:ascii="Times New Roman" w:hAnsi="Times New Roman" w:cs="Times New Roman"/>
          <w:b/>
          <w:bCs/>
          <w:sz w:val="24"/>
          <w:szCs w:val="24"/>
          <w:lang w:eastAsia="ru-RU"/>
        </w:rPr>
        <w:t>беспристрастны</w:t>
      </w:r>
      <w:r w:rsidRPr="001D5B4B">
        <w:rPr>
          <w:rFonts w:ascii="Times New Roman" w:hAnsi="Times New Roman" w:cs="Times New Roman"/>
          <w:sz w:val="24"/>
          <w:szCs w:val="24"/>
          <w:lang w:eastAsia="ru-RU"/>
        </w:rPr>
        <w:t> и </w:t>
      </w:r>
      <w:r w:rsidRPr="001D5B4B">
        <w:rPr>
          <w:rFonts w:ascii="Times New Roman" w:hAnsi="Times New Roman" w:cs="Times New Roman"/>
          <w:b/>
          <w:bCs/>
          <w:sz w:val="24"/>
          <w:szCs w:val="24"/>
          <w:lang w:eastAsia="ru-RU"/>
        </w:rPr>
        <w:t>способны последовательно выдавать действительные и надежные результаты</w:t>
      </w:r>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pacing w:val="-11"/>
          <w:sz w:val="24"/>
          <w:szCs w:val="24"/>
          <w:lang w:eastAsia="ru-RU"/>
        </w:rPr>
      </w:pPr>
      <w:r w:rsidRPr="001D5B4B">
        <w:rPr>
          <w:rFonts w:ascii="Times New Roman" w:hAnsi="Times New Roman" w:cs="Times New Roman"/>
          <w:spacing w:val="-11"/>
          <w:sz w:val="24"/>
          <w:szCs w:val="24"/>
          <w:lang w:eastAsia="ru-RU"/>
        </w:rPr>
        <w:t>Инспекция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Инспекция - это </w:t>
      </w:r>
      <w:r w:rsidRPr="001D5B4B">
        <w:rPr>
          <w:rFonts w:ascii="Times New Roman" w:hAnsi="Times New Roman" w:cs="Times New Roman"/>
          <w:b/>
          <w:bCs/>
          <w:sz w:val="24"/>
          <w:szCs w:val="24"/>
          <w:lang w:eastAsia="ru-RU"/>
        </w:rPr>
        <w:t>исследование объекта оценки соответствия</w:t>
      </w:r>
      <w:r w:rsidRPr="001D5B4B">
        <w:rPr>
          <w:rFonts w:ascii="Times New Roman" w:hAnsi="Times New Roman" w:cs="Times New Roman"/>
          <w:sz w:val="24"/>
          <w:szCs w:val="24"/>
          <w:lang w:eastAsia="ru-RU"/>
        </w:rPr>
        <w:t> и определение его соответствия </w:t>
      </w:r>
      <w:r w:rsidRPr="001D5B4B">
        <w:rPr>
          <w:rFonts w:ascii="Times New Roman" w:hAnsi="Times New Roman" w:cs="Times New Roman"/>
          <w:b/>
          <w:bCs/>
          <w:sz w:val="24"/>
          <w:szCs w:val="24"/>
          <w:lang w:eastAsia="ru-RU"/>
        </w:rPr>
        <w:t>детальным требованиям</w:t>
      </w:r>
      <w:r w:rsidRPr="001D5B4B">
        <w:rPr>
          <w:rFonts w:ascii="Times New Roman" w:hAnsi="Times New Roman" w:cs="Times New Roman"/>
          <w:sz w:val="24"/>
          <w:szCs w:val="24"/>
          <w:lang w:eastAsia="ru-RU"/>
        </w:rPr>
        <w:t> или, на основе </w:t>
      </w:r>
      <w:r w:rsidRPr="001D5B4B">
        <w:rPr>
          <w:rFonts w:ascii="Times New Roman" w:hAnsi="Times New Roman" w:cs="Times New Roman"/>
          <w:b/>
          <w:bCs/>
          <w:sz w:val="24"/>
          <w:szCs w:val="24"/>
          <w:lang w:eastAsia="ru-RU"/>
        </w:rPr>
        <w:t>профессионального суждения</w:t>
      </w:r>
      <w:r w:rsidRPr="001D5B4B">
        <w:rPr>
          <w:rFonts w:ascii="Times New Roman" w:hAnsi="Times New Roman" w:cs="Times New Roman"/>
          <w:sz w:val="24"/>
          <w:szCs w:val="24"/>
          <w:lang w:eastAsia="ru-RU"/>
        </w:rPr>
        <w:t>, общим требованиям. Требования к органам инспекции определены в </w:t>
      </w:r>
      <w:hyperlink r:id="rId11" w:history="1">
        <w:r w:rsidRPr="001D5B4B">
          <w:rPr>
            <w:rFonts w:ascii="Times New Roman" w:hAnsi="Times New Roman" w:cs="Times New Roman"/>
            <w:color w:val="0000FF"/>
            <w:sz w:val="24"/>
            <w:szCs w:val="24"/>
            <w:u w:val="single"/>
            <w:lang w:eastAsia="ru-RU"/>
          </w:rPr>
          <w:t>стандарте ISO/IEC 17020</w:t>
        </w:r>
      </w:hyperlink>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pacing w:val="-11"/>
          <w:sz w:val="24"/>
          <w:szCs w:val="24"/>
          <w:lang w:eastAsia="ru-RU"/>
        </w:rPr>
      </w:pPr>
      <w:proofErr w:type="spellStart"/>
      <w:r w:rsidRPr="001D5B4B">
        <w:rPr>
          <w:rFonts w:ascii="Times New Roman" w:hAnsi="Times New Roman" w:cs="Times New Roman"/>
          <w:spacing w:val="-11"/>
          <w:sz w:val="24"/>
          <w:szCs w:val="24"/>
          <w:lang w:eastAsia="ru-RU"/>
        </w:rPr>
        <w:t>Валидация</w:t>
      </w:r>
      <w:proofErr w:type="spellEnd"/>
    </w:p>
    <w:p w:rsidR="00862D77" w:rsidRPr="001D5B4B" w:rsidRDefault="00862D77" w:rsidP="001D5B4B">
      <w:pPr>
        <w:pStyle w:val="a8"/>
        <w:ind w:left="-993"/>
        <w:jc w:val="both"/>
        <w:rPr>
          <w:rFonts w:ascii="Times New Roman" w:hAnsi="Times New Roman" w:cs="Times New Roman"/>
          <w:sz w:val="24"/>
          <w:szCs w:val="24"/>
          <w:lang w:eastAsia="ru-RU"/>
        </w:rPr>
      </w:pPr>
      <w:proofErr w:type="spellStart"/>
      <w:r w:rsidRPr="001D5B4B">
        <w:rPr>
          <w:rFonts w:ascii="Times New Roman" w:hAnsi="Times New Roman" w:cs="Times New Roman"/>
          <w:sz w:val="24"/>
          <w:szCs w:val="24"/>
          <w:lang w:eastAsia="ru-RU"/>
        </w:rPr>
        <w:t>Валидация</w:t>
      </w:r>
      <w:proofErr w:type="spellEnd"/>
      <w:r w:rsidRPr="001D5B4B">
        <w:rPr>
          <w:rFonts w:ascii="Times New Roman" w:hAnsi="Times New Roman" w:cs="Times New Roman"/>
          <w:sz w:val="24"/>
          <w:szCs w:val="24"/>
          <w:lang w:eastAsia="ru-RU"/>
        </w:rPr>
        <w:t xml:space="preserve"> обеспечивает подтверждение того, что информация, заявленная в качестве "</w:t>
      </w:r>
      <w:r w:rsidRPr="001D5B4B">
        <w:rPr>
          <w:rFonts w:ascii="Times New Roman" w:hAnsi="Times New Roman" w:cs="Times New Roman"/>
          <w:b/>
          <w:bCs/>
          <w:sz w:val="24"/>
          <w:szCs w:val="24"/>
          <w:lang w:eastAsia="ru-RU"/>
        </w:rPr>
        <w:t>утверждения</w:t>
      </w:r>
      <w:r w:rsidRPr="001D5B4B">
        <w:rPr>
          <w:rFonts w:ascii="Times New Roman" w:hAnsi="Times New Roman" w:cs="Times New Roman"/>
          <w:sz w:val="24"/>
          <w:szCs w:val="24"/>
          <w:lang w:eastAsia="ru-RU"/>
        </w:rPr>
        <w:t>" (объект оценки соответствия), является </w:t>
      </w:r>
      <w:r w:rsidRPr="001D5B4B">
        <w:rPr>
          <w:rFonts w:ascii="Times New Roman" w:hAnsi="Times New Roman" w:cs="Times New Roman"/>
          <w:b/>
          <w:bCs/>
          <w:sz w:val="24"/>
          <w:szCs w:val="24"/>
          <w:lang w:eastAsia="ru-RU"/>
        </w:rPr>
        <w:t>обоснованной в отношении предполагаемого будущего использования</w:t>
      </w:r>
      <w:r w:rsidRPr="001D5B4B">
        <w:rPr>
          <w:rFonts w:ascii="Times New Roman" w:hAnsi="Times New Roman" w:cs="Times New Roman"/>
          <w:sz w:val="24"/>
          <w:szCs w:val="24"/>
          <w:lang w:eastAsia="ru-RU"/>
        </w:rPr>
        <w:t xml:space="preserve">. Требования к органам по </w:t>
      </w:r>
      <w:proofErr w:type="spellStart"/>
      <w:r w:rsidRPr="001D5B4B">
        <w:rPr>
          <w:rFonts w:ascii="Times New Roman" w:hAnsi="Times New Roman" w:cs="Times New Roman"/>
          <w:sz w:val="24"/>
          <w:szCs w:val="24"/>
          <w:lang w:eastAsia="ru-RU"/>
        </w:rPr>
        <w:t>валидации</w:t>
      </w:r>
      <w:proofErr w:type="spellEnd"/>
      <w:r w:rsidRPr="001D5B4B">
        <w:rPr>
          <w:rFonts w:ascii="Times New Roman" w:hAnsi="Times New Roman" w:cs="Times New Roman"/>
          <w:sz w:val="24"/>
          <w:szCs w:val="24"/>
          <w:lang w:eastAsia="ru-RU"/>
        </w:rPr>
        <w:t xml:space="preserve"> указаны в </w:t>
      </w:r>
      <w:hyperlink r:id="rId12" w:tooltip="ISO/IEC 17029:2019 - Conformity assessment — General principles and requirements for validation and verification bodies" w:history="1">
        <w:r w:rsidRPr="001D5B4B">
          <w:rPr>
            <w:rFonts w:ascii="Times New Roman" w:hAnsi="Times New Roman" w:cs="Times New Roman"/>
            <w:color w:val="0000FF"/>
            <w:sz w:val="24"/>
            <w:szCs w:val="24"/>
            <w:u w:val="single"/>
            <w:lang w:eastAsia="ru-RU"/>
          </w:rPr>
          <w:t>стандарте ISO/IEC 17029</w:t>
        </w:r>
      </w:hyperlink>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pacing w:val="-11"/>
          <w:sz w:val="24"/>
          <w:szCs w:val="24"/>
          <w:lang w:eastAsia="ru-RU"/>
        </w:rPr>
      </w:pPr>
      <w:r w:rsidRPr="001D5B4B">
        <w:rPr>
          <w:rFonts w:ascii="Times New Roman" w:hAnsi="Times New Roman" w:cs="Times New Roman"/>
          <w:spacing w:val="-11"/>
          <w:sz w:val="24"/>
          <w:szCs w:val="24"/>
          <w:lang w:eastAsia="ru-RU"/>
        </w:rPr>
        <w:t>Верификация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Верификация обеспечивает подтверждение того, что информация, заявленная в качестве "утверждения" (объект оценки соответствия), достоверно изложена. Требования к органам верификации указаны в </w:t>
      </w:r>
      <w:hyperlink r:id="rId13" w:history="1">
        <w:r w:rsidRPr="001D5B4B">
          <w:rPr>
            <w:rFonts w:ascii="Times New Roman" w:hAnsi="Times New Roman" w:cs="Times New Roman"/>
            <w:color w:val="0000FF"/>
            <w:sz w:val="24"/>
            <w:szCs w:val="24"/>
            <w:u w:val="single"/>
            <w:lang w:eastAsia="ru-RU"/>
          </w:rPr>
          <w:t>стандарте ISO/IEC 17029</w:t>
        </w:r>
      </w:hyperlink>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pacing w:val="-11"/>
          <w:sz w:val="24"/>
          <w:szCs w:val="24"/>
          <w:lang w:eastAsia="ru-RU"/>
        </w:rPr>
      </w:pPr>
      <w:r w:rsidRPr="001D5B4B">
        <w:rPr>
          <w:rFonts w:ascii="Times New Roman" w:hAnsi="Times New Roman" w:cs="Times New Roman"/>
          <w:spacing w:val="-11"/>
          <w:sz w:val="24"/>
          <w:szCs w:val="24"/>
          <w:lang w:eastAsia="ru-RU"/>
        </w:rPr>
        <w:t>Сертификация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Сертификация обеспечивает </w:t>
      </w:r>
      <w:r w:rsidRPr="001D5B4B">
        <w:rPr>
          <w:rFonts w:ascii="Times New Roman" w:hAnsi="Times New Roman" w:cs="Times New Roman"/>
          <w:b/>
          <w:bCs/>
          <w:sz w:val="24"/>
          <w:szCs w:val="24"/>
          <w:lang w:eastAsia="ru-RU"/>
        </w:rPr>
        <w:t>независимое (от третьей стороны) подтверждение соответствия</w:t>
      </w:r>
      <w:r w:rsidRPr="001D5B4B">
        <w:rPr>
          <w:rFonts w:ascii="Times New Roman" w:hAnsi="Times New Roman" w:cs="Times New Roman"/>
          <w:sz w:val="24"/>
          <w:szCs w:val="24"/>
          <w:lang w:eastAsia="ru-RU"/>
        </w:rPr>
        <w:t>. </w:t>
      </w:r>
      <w:r w:rsidRPr="001D5B4B">
        <w:rPr>
          <w:rFonts w:ascii="Times New Roman" w:hAnsi="Times New Roman" w:cs="Times New Roman"/>
          <w:b/>
          <w:bCs/>
          <w:sz w:val="24"/>
          <w:szCs w:val="24"/>
          <w:lang w:eastAsia="ru-RU"/>
        </w:rPr>
        <w:t>Требования к органам по сертификации</w:t>
      </w:r>
      <w:r w:rsidRPr="001D5B4B">
        <w:rPr>
          <w:rFonts w:ascii="Times New Roman" w:hAnsi="Times New Roman" w:cs="Times New Roman"/>
          <w:sz w:val="24"/>
          <w:szCs w:val="24"/>
          <w:lang w:eastAsia="ru-RU"/>
        </w:rPr>
        <w:t> определены в стандартах </w:t>
      </w:r>
      <w:hyperlink r:id="rId14" w:tooltip="ISO/IEC 17021-1:2015 - Conformity assessment — Requirements for bodies providing audit and certification of management systems — Part 1: Requirements" w:history="1">
        <w:r w:rsidRPr="001D5B4B">
          <w:rPr>
            <w:rFonts w:ascii="Times New Roman" w:hAnsi="Times New Roman" w:cs="Times New Roman"/>
            <w:color w:val="0000FF"/>
            <w:sz w:val="24"/>
            <w:szCs w:val="24"/>
            <w:u w:val="single"/>
            <w:lang w:eastAsia="ru-RU"/>
          </w:rPr>
          <w:t>ISO/IEC 17021-1 (для </w:t>
        </w:r>
        <w:r w:rsidRPr="001D5B4B">
          <w:rPr>
            <w:rFonts w:ascii="Times New Roman" w:hAnsi="Times New Roman" w:cs="Times New Roman"/>
            <w:b/>
            <w:bCs/>
            <w:color w:val="0000FF"/>
            <w:sz w:val="24"/>
            <w:szCs w:val="24"/>
            <w:lang w:eastAsia="ru-RU"/>
          </w:rPr>
          <w:t>систем менеджмента</w:t>
        </w:r>
        <w:r w:rsidRPr="001D5B4B">
          <w:rPr>
            <w:rFonts w:ascii="Times New Roman" w:hAnsi="Times New Roman" w:cs="Times New Roman"/>
            <w:color w:val="0000FF"/>
            <w:sz w:val="24"/>
            <w:szCs w:val="24"/>
            <w:u w:val="single"/>
            <w:lang w:eastAsia="ru-RU"/>
          </w:rPr>
          <w:t> как объектов оценки соответствия)</w:t>
        </w:r>
      </w:hyperlink>
      <w:r w:rsidRPr="001D5B4B">
        <w:rPr>
          <w:rFonts w:ascii="Times New Roman" w:hAnsi="Times New Roman" w:cs="Times New Roman"/>
          <w:sz w:val="24"/>
          <w:szCs w:val="24"/>
          <w:lang w:eastAsia="ru-RU"/>
        </w:rPr>
        <w:t>, </w:t>
      </w:r>
      <w:hyperlink r:id="rId15" w:tooltip="ISO/IEC 17065:2012 - Conformity assessment — Requirements for bodies certifying products, processes and services" w:history="1">
        <w:r w:rsidRPr="001D5B4B">
          <w:rPr>
            <w:rFonts w:ascii="Times New Roman" w:hAnsi="Times New Roman" w:cs="Times New Roman"/>
            <w:color w:val="0000FF"/>
            <w:sz w:val="24"/>
            <w:szCs w:val="24"/>
            <w:u w:val="single"/>
            <w:lang w:eastAsia="ru-RU"/>
          </w:rPr>
          <w:t>ISO/IEC 17065 (для </w:t>
        </w:r>
        <w:r w:rsidRPr="001D5B4B">
          <w:rPr>
            <w:rFonts w:ascii="Times New Roman" w:hAnsi="Times New Roman" w:cs="Times New Roman"/>
            <w:b/>
            <w:bCs/>
            <w:color w:val="0000FF"/>
            <w:sz w:val="24"/>
            <w:szCs w:val="24"/>
            <w:lang w:eastAsia="ru-RU"/>
          </w:rPr>
          <w:t>продукции, процессов и услуг</w:t>
        </w:r>
        <w:r w:rsidRPr="001D5B4B">
          <w:rPr>
            <w:rFonts w:ascii="Times New Roman" w:hAnsi="Times New Roman" w:cs="Times New Roman"/>
            <w:color w:val="0000FF"/>
            <w:sz w:val="24"/>
            <w:szCs w:val="24"/>
            <w:u w:val="single"/>
            <w:lang w:eastAsia="ru-RU"/>
          </w:rPr>
          <w:t> как объектов оценки соответствия)</w:t>
        </w:r>
      </w:hyperlink>
      <w:r w:rsidRPr="001D5B4B">
        <w:rPr>
          <w:rFonts w:ascii="Times New Roman" w:hAnsi="Times New Roman" w:cs="Times New Roman"/>
          <w:sz w:val="24"/>
          <w:szCs w:val="24"/>
          <w:lang w:eastAsia="ru-RU"/>
        </w:rPr>
        <w:t> и </w:t>
      </w:r>
      <w:hyperlink r:id="rId16" w:tooltip="ISO/IEC 17024:2012 - Conformity assessment — General requirements for bodies operating certification of persons" w:history="1">
        <w:r w:rsidRPr="001D5B4B">
          <w:rPr>
            <w:rFonts w:ascii="Times New Roman" w:hAnsi="Times New Roman" w:cs="Times New Roman"/>
            <w:color w:val="0000FF"/>
            <w:sz w:val="24"/>
            <w:szCs w:val="24"/>
            <w:u w:val="single"/>
            <w:lang w:eastAsia="ru-RU"/>
          </w:rPr>
          <w:t>ISO/IEC 17024 (для </w:t>
        </w:r>
        <w:r w:rsidRPr="001D5B4B">
          <w:rPr>
            <w:rFonts w:ascii="Times New Roman" w:hAnsi="Times New Roman" w:cs="Times New Roman"/>
            <w:b/>
            <w:bCs/>
            <w:color w:val="0000FF"/>
            <w:sz w:val="24"/>
            <w:szCs w:val="24"/>
            <w:lang w:eastAsia="ru-RU"/>
          </w:rPr>
          <w:t>лиц</w:t>
        </w:r>
        <w:r w:rsidRPr="001D5B4B">
          <w:rPr>
            <w:rFonts w:ascii="Times New Roman" w:hAnsi="Times New Roman" w:cs="Times New Roman"/>
            <w:color w:val="0000FF"/>
            <w:sz w:val="24"/>
            <w:szCs w:val="24"/>
            <w:u w:val="single"/>
            <w:lang w:eastAsia="ru-RU"/>
          </w:rPr>
          <w:t> как объектов оценки соответствия)</w:t>
        </w:r>
      </w:hyperlink>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В дополнение к вышеперечисленным стандартам инструментарий CASCО содержит </w:t>
      </w:r>
      <w:hyperlink r:id="rId17" w:tooltip="ISO/IEC 17011:2017 - Conformity assessment — Requirements for accreditation bodies accrediting conformity assessment bodies" w:history="1">
        <w:r w:rsidRPr="001D5B4B">
          <w:rPr>
            <w:rFonts w:ascii="Times New Roman" w:hAnsi="Times New Roman" w:cs="Times New Roman"/>
            <w:b/>
            <w:bCs/>
            <w:color w:val="0000FF"/>
            <w:sz w:val="24"/>
            <w:szCs w:val="24"/>
            <w:lang w:eastAsia="ru-RU"/>
          </w:rPr>
          <w:t>требования к органам аккредитации</w:t>
        </w:r>
        <w:r w:rsidRPr="001D5B4B">
          <w:rPr>
            <w:rFonts w:ascii="Times New Roman" w:hAnsi="Times New Roman" w:cs="Times New Roman"/>
            <w:color w:val="0000FF"/>
            <w:sz w:val="24"/>
            <w:szCs w:val="24"/>
            <w:u w:val="single"/>
            <w:lang w:eastAsia="ru-RU"/>
          </w:rPr>
          <w:t> (ISO/IEC 17011)</w:t>
        </w:r>
      </w:hyperlink>
      <w:r w:rsidRPr="001D5B4B">
        <w:rPr>
          <w:rFonts w:ascii="Times New Roman" w:hAnsi="Times New Roman" w:cs="Times New Roman"/>
          <w:sz w:val="24"/>
          <w:szCs w:val="24"/>
          <w:lang w:eastAsia="ru-RU"/>
        </w:rPr>
        <w:t>, </w:t>
      </w:r>
      <w:hyperlink r:id="rId18" w:tooltip="ISO/IEC 17050-2:2004 - Conformity assessment — Supplier's declaration of conformity — Part 2: Supporting documentation" w:history="1">
        <w:r w:rsidRPr="001D5B4B">
          <w:rPr>
            <w:rFonts w:ascii="Times New Roman" w:hAnsi="Times New Roman" w:cs="Times New Roman"/>
            <w:b/>
            <w:bCs/>
            <w:color w:val="0000FF"/>
            <w:sz w:val="24"/>
            <w:szCs w:val="24"/>
            <w:lang w:eastAsia="ru-RU"/>
          </w:rPr>
          <w:t>общие спецификации деклараций поставщиков</w:t>
        </w:r>
        <w:r w:rsidRPr="001D5B4B">
          <w:rPr>
            <w:rFonts w:ascii="Times New Roman" w:hAnsi="Times New Roman" w:cs="Times New Roman"/>
            <w:color w:val="0000FF"/>
            <w:sz w:val="24"/>
            <w:szCs w:val="24"/>
            <w:u w:val="single"/>
            <w:lang w:eastAsia="ru-RU"/>
          </w:rPr>
          <w:t> (ISO/IEC 17050)</w:t>
        </w:r>
      </w:hyperlink>
      <w:r w:rsidRPr="001D5B4B">
        <w:rPr>
          <w:rFonts w:ascii="Times New Roman" w:hAnsi="Times New Roman" w:cs="Times New Roman"/>
          <w:sz w:val="24"/>
          <w:szCs w:val="24"/>
          <w:lang w:eastAsia="ru-RU"/>
        </w:rPr>
        <w:t> и </w:t>
      </w:r>
      <w:hyperlink r:id="rId19" w:tooltip="ISO/IEC 17030:2021 - Conformity assessment — General requirements for third-party marks of conformity" w:history="1">
        <w:r w:rsidRPr="001D5B4B">
          <w:rPr>
            <w:rFonts w:ascii="Times New Roman" w:hAnsi="Times New Roman" w:cs="Times New Roman"/>
            <w:b/>
            <w:bCs/>
            <w:color w:val="0000FF"/>
            <w:sz w:val="24"/>
            <w:szCs w:val="24"/>
            <w:lang w:eastAsia="ru-RU"/>
          </w:rPr>
          <w:t>знаки соответствия</w:t>
        </w:r>
        <w:r w:rsidRPr="001D5B4B">
          <w:rPr>
            <w:rFonts w:ascii="Times New Roman" w:hAnsi="Times New Roman" w:cs="Times New Roman"/>
            <w:color w:val="0000FF"/>
            <w:sz w:val="24"/>
            <w:szCs w:val="24"/>
            <w:u w:val="single"/>
            <w:lang w:eastAsia="ru-RU"/>
          </w:rPr>
          <w:t> (ISO/IEC 17030)</w:t>
        </w:r>
      </w:hyperlink>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Системы оценки соответствия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На основании соответствующего стандарта CASCО органы по оценке соответствия могут признавать друг друга компетентными - независимо от того, являются ли они государственными организациями (например, государственным органом инспекции) или частными (например, органом по сертификации).</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Использование стандартов серии ISO/IEC 17000 обеспечивает </w:t>
      </w:r>
      <w:r w:rsidRPr="001D5B4B">
        <w:rPr>
          <w:rFonts w:ascii="Times New Roman" w:hAnsi="Times New Roman" w:cs="Times New Roman"/>
          <w:b/>
          <w:bCs/>
          <w:sz w:val="24"/>
          <w:szCs w:val="24"/>
          <w:lang w:eastAsia="ru-RU"/>
        </w:rPr>
        <w:t>гармонизацию практики оценки соответствия </w:t>
      </w:r>
      <w:r w:rsidRPr="001D5B4B">
        <w:rPr>
          <w:rFonts w:ascii="Times New Roman" w:hAnsi="Times New Roman" w:cs="Times New Roman"/>
          <w:sz w:val="24"/>
          <w:szCs w:val="24"/>
          <w:lang w:eastAsia="ru-RU"/>
        </w:rPr>
        <w:t>во всех органах оценки соответствия (ООС), что позволяет им выдавать заключения о соответствии, </w:t>
      </w:r>
      <w:r w:rsidRPr="001D5B4B">
        <w:rPr>
          <w:rFonts w:ascii="Times New Roman" w:hAnsi="Times New Roman" w:cs="Times New Roman"/>
          <w:b/>
          <w:bCs/>
          <w:sz w:val="24"/>
          <w:szCs w:val="24"/>
          <w:lang w:eastAsia="ru-RU"/>
        </w:rPr>
        <w:t>аналогичные друг-другу в любой точке мира</w:t>
      </w:r>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b/>
          <w:bCs/>
          <w:sz w:val="24"/>
          <w:szCs w:val="24"/>
          <w:lang w:eastAsia="ru-RU"/>
        </w:rPr>
        <w:t>Многосторонние договоренности, </w:t>
      </w:r>
      <w:r w:rsidRPr="001D5B4B">
        <w:rPr>
          <w:rFonts w:ascii="Times New Roman" w:hAnsi="Times New Roman" w:cs="Times New Roman"/>
          <w:sz w:val="24"/>
          <w:szCs w:val="24"/>
          <w:lang w:eastAsia="ru-RU"/>
        </w:rPr>
        <w:t>достигнутые на этой основе, обеспечивают взаимное признание между ООС, а также</w:t>
      </w:r>
      <w:r w:rsidRPr="001D5B4B">
        <w:rPr>
          <w:rFonts w:ascii="Times New Roman" w:hAnsi="Times New Roman" w:cs="Times New Roman"/>
          <w:b/>
          <w:bCs/>
          <w:sz w:val="24"/>
          <w:szCs w:val="24"/>
          <w:lang w:eastAsia="ru-RU"/>
        </w:rPr>
        <w:t xml:space="preserve"> взаимное признание результатов оценки и заключений о </w:t>
      </w:r>
      <w:proofErr w:type="gramStart"/>
      <w:r w:rsidRPr="001D5B4B">
        <w:rPr>
          <w:rFonts w:ascii="Times New Roman" w:hAnsi="Times New Roman" w:cs="Times New Roman"/>
          <w:b/>
          <w:bCs/>
          <w:sz w:val="24"/>
          <w:szCs w:val="24"/>
          <w:lang w:eastAsia="ru-RU"/>
        </w:rPr>
        <w:t>соответствии.</w:t>
      </w:r>
      <w:r w:rsidRPr="001D5B4B">
        <w:rPr>
          <w:rFonts w:ascii="Times New Roman" w:hAnsi="Times New Roman" w:cs="Times New Roman"/>
          <w:sz w:val="24"/>
          <w:szCs w:val="24"/>
          <w:lang w:eastAsia="ru-RU"/>
        </w:rPr>
        <w:t>.</w:t>
      </w:r>
      <w:proofErr w:type="gramEnd"/>
    </w:p>
    <w:p w:rsidR="00862D77" w:rsidRPr="001D5B4B" w:rsidRDefault="00862D77" w:rsidP="001D5B4B">
      <w:pPr>
        <w:pStyle w:val="a8"/>
        <w:ind w:left="-993"/>
        <w:jc w:val="both"/>
        <w:rPr>
          <w:rFonts w:ascii="Times New Roman" w:hAnsi="Times New Roman" w:cs="Times New Roman"/>
          <w:spacing w:val="-16"/>
          <w:sz w:val="24"/>
          <w:szCs w:val="24"/>
          <w:lang w:eastAsia="ru-RU"/>
        </w:rPr>
      </w:pPr>
      <w:r w:rsidRPr="001D5B4B">
        <w:rPr>
          <w:rFonts w:ascii="Times New Roman" w:hAnsi="Times New Roman" w:cs="Times New Roman"/>
          <w:spacing w:val="-16"/>
          <w:sz w:val="24"/>
          <w:szCs w:val="24"/>
          <w:lang w:eastAsia="ru-RU"/>
        </w:rPr>
        <w:t xml:space="preserve">Как деятельность по оценке соответствия (например, испытания, инспекция, </w:t>
      </w:r>
      <w:proofErr w:type="spellStart"/>
      <w:r w:rsidRPr="001D5B4B">
        <w:rPr>
          <w:rFonts w:ascii="Times New Roman" w:hAnsi="Times New Roman" w:cs="Times New Roman"/>
          <w:spacing w:val="-16"/>
          <w:sz w:val="24"/>
          <w:szCs w:val="24"/>
          <w:lang w:eastAsia="ru-RU"/>
        </w:rPr>
        <w:t>валидация</w:t>
      </w:r>
      <w:proofErr w:type="spellEnd"/>
      <w:r w:rsidRPr="001D5B4B">
        <w:rPr>
          <w:rFonts w:ascii="Times New Roman" w:hAnsi="Times New Roman" w:cs="Times New Roman"/>
          <w:spacing w:val="-16"/>
          <w:sz w:val="24"/>
          <w:szCs w:val="24"/>
          <w:lang w:eastAsia="ru-RU"/>
        </w:rPr>
        <w:t>, верификация, сертификация) укрепляет доверие в экономике замкнутого цикла</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Оценка соответствия обеспечивает уверенность в том, что определенные потребности или ожидания удовлетворяются в полной мере. Независимо от того, идет ли речь о простой проверке, обширном расследовании или сложном профессиональной оценке, инструментарий CASCO поддерживает общие подходы к оценке соответствия.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Выполненная в контексте циркулярной экономики, оценка соответствия добавляет</w:t>
      </w:r>
      <w:r w:rsidRPr="001D5B4B">
        <w:rPr>
          <w:rFonts w:ascii="Times New Roman" w:hAnsi="Times New Roman" w:cs="Times New Roman"/>
          <w:b/>
          <w:bCs/>
          <w:sz w:val="24"/>
          <w:szCs w:val="24"/>
          <w:lang w:eastAsia="ru-RU"/>
        </w:rPr>
        <w:t> содержания и доверия </w:t>
      </w:r>
      <w:r w:rsidRPr="001D5B4B">
        <w:rPr>
          <w:rFonts w:ascii="Times New Roman" w:hAnsi="Times New Roman" w:cs="Times New Roman"/>
          <w:sz w:val="24"/>
          <w:szCs w:val="24"/>
          <w:lang w:eastAsia="ru-RU"/>
        </w:rPr>
        <w:t>заявлению о том, что продукты, процессы, услуги, системы или утверждения отвечают конкретным требованиям, тем самым обеспечивая </w:t>
      </w:r>
      <w:r w:rsidRPr="001D5B4B">
        <w:rPr>
          <w:rFonts w:ascii="Times New Roman" w:hAnsi="Times New Roman" w:cs="Times New Roman"/>
          <w:b/>
          <w:bCs/>
          <w:sz w:val="24"/>
          <w:szCs w:val="24"/>
          <w:lang w:eastAsia="ru-RU"/>
        </w:rPr>
        <w:t xml:space="preserve">уверенность в таких аспектах, как возможность переработки, повторного использования, ремонтопригодность, </w:t>
      </w:r>
      <w:proofErr w:type="spellStart"/>
      <w:r w:rsidRPr="001D5B4B">
        <w:rPr>
          <w:rFonts w:ascii="Times New Roman" w:hAnsi="Times New Roman" w:cs="Times New Roman"/>
          <w:b/>
          <w:bCs/>
          <w:sz w:val="24"/>
          <w:szCs w:val="24"/>
          <w:lang w:eastAsia="ru-RU"/>
        </w:rPr>
        <w:t>модернизируемость</w:t>
      </w:r>
      <w:proofErr w:type="spellEnd"/>
      <w:r w:rsidRPr="001D5B4B">
        <w:rPr>
          <w:rFonts w:ascii="Times New Roman" w:hAnsi="Times New Roman" w:cs="Times New Roman"/>
          <w:sz w:val="24"/>
          <w:szCs w:val="24"/>
          <w:lang w:eastAsia="ru-RU"/>
        </w:rPr>
        <w:t> и т.д.</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Надежные технические циклы</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xml:space="preserve">Потребители и компании будут вкладывать средства в продукцию, которая используется совместно с другими или изготовлена из переработанных материалов, только в том случае, если они смогут </w:t>
      </w:r>
      <w:r w:rsidRPr="001D5B4B">
        <w:rPr>
          <w:rFonts w:ascii="Times New Roman" w:hAnsi="Times New Roman" w:cs="Times New Roman"/>
          <w:sz w:val="24"/>
          <w:szCs w:val="24"/>
          <w:lang w:eastAsia="ru-RU"/>
        </w:rPr>
        <w:lastRenderedPageBreak/>
        <w:t xml:space="preserve">доверять тому, что эта продукция безопасна, надежна и соответствует своему назначению. Аналогичным образом, когда товары, рассчитанные на длительный срок службы, предлагаются на рынке по более высокой цене, чем товары конкурентов, обещание их долговечности должно вызывать доверие у покупателей. Именно здесь оценка соответствия может предложить решения. Приведенная ниже </w:t>
      </w:r>
      <w:proofErr w:type="spellStart"/>
      <w:r w:rsidRPr="001D5B4B">
        <w:rPr>
          <w:rFonts w:ascii="Times New Roman" w:hAnsi="Times New Roman" w:cs="Times New Roman"/>
          <w:sz w:val="24"/>
          <w:szCs w:val="24"/>
          <w:lang w:eastAsia="ru-RU"/>
        </w:rPr>
        <w:t>инфографика</w:t>
      </w:r>
      <w:proofErr w:type="spellEnd"/>
      <w:r w:rsidRPr="001D5B4B">
        <w:rPr>
          <w:rFonts w:ascii="Times New Roman" w:hAnsi="Times New Roman" w:cs="Times New Roman"/>
          <w:sz w:val="24"/>
          <w:szCs w:val="24"/>
          <w:lang w:eastAsia="ru-RU"/>
        </w:rPr>
        <w:t xml:space="preserve"> иллюстрирует, как инструменты оценки соответствия применяются на протяжении всего технического цикла, обеспечивая доверие и уверенность на рынке.</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noProof/>
          <w:sz w:val="24"/>
          <w:szCs w:val="24"/>
          <w:lang w:eastAsia="ru-RU"/>
        </w:rPr>
        <mc:AlternateContent>
          <mc:Choice Requires="wps">
            <w:drawing>
              <wp:inline distT="0" distB="0" distL="0" distR="0">
                <wp:extent cx="304800" cy="304800"/>
                <wp:effectExtent l="0" t="0" r="0" b="0"/>
                <wp:docPr id="2" name="Прямоугольник 2" descr="Consumers and companies will only invest in products that are shared with others or made from recycled materials if they can trust that the products are safe, reliable and fit for purpose. Similarly, when goods that are built to last are brought to market at a higher price than competitors’ merchandise, their promise of longevity needs to be credible. This is where conformity assessment can provide solutions. This infographic illustrates how conformity assessment tools apply throughout the technical cycle, providing trust and confidence to the market.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023BFED" id="Прямоугольник 2" o:spid="_x0000_s1026" alt="Consumers and companies will only invest in products that are shared with others or made from recycled materials if they can trust that the products are safe, reliable and fit for purpose. Similarly, when goods that are built to last are brought to market at a higher price than competitors’ merchandise, their promise of longevity needs to be credible. This is where conformity assessment can provide solutions. This infographic illustrates how conformity assessment tools apply throughout the technical cycle, providing trust and confidence to the market. "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GhDIwocBAAAAQgAAA4AAAAAAAAAAAAAAAAALgIAAGRycy9lMm9Eb2MueG1sUEsBAi0AFAAGAAgA&#10;AAAhAEyg6SzYAAAAAwEAAA8AAAAAAAAAAAAAAAAAdgYAAGRycy9kb3ducmV2LnhtbFBLBQYAAAAA&#10;BAAEAPMAAAB7BwAAAAA=&#10;" filled="f" stroked="f">
                <o:lock v:ext="edit" aspectratio="t"/>
                <w10:anchorlock/>
              </v:rect>
            </w:pict>
          </mc:Fallback>
        </mc:AlternateConten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Деятельность по оценке соответствия на протяжении всей цепочки создания стоимости помогает замкнуть петли технических циклов.</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Безопасное и эффективное восстановление ресурсов в биологических циклах</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xml:space="preserve">От поля до нашей тарелки, от леса до </w:t>
      </w:r>
      <w:proofErr w:type="spellStart"/>
      <w:r w:rsidRPr="001D5B4B">
        <w:rPr>
          <w:rFonts w:ascii="Times New Roman" w:hAnsi="Times New Roman" w:cs="Times New Roman"/>
          <w:sz w:val="24"/>
          <w:szCs w:val="24"/>
          <w:lang w:eastAsia="ru-RU"/>
        </w:rPr>
        <w:t>измельчителя</w:t>
      </w:r>
      <w:proofErr w:type="spellEnd"/>
      <w:r w:rsidRPr="001D5B4B">
        <w:rPr>
          <w:rFonts w:ascii="Times New Roman" w:hAnsi="Times New Roman" w:cs="Times New Roman"/>
          <w:sz w:val="24"/>
          <w:szCs w:val="24"/>
          <w:lang w:eastAsia="ru-RU"/>
        </w:rPr>
        <w:t xml:space="preserve"> бумаги в офисе - в цепочке создания стоимости продуктов питания и волокон существует множество этапов, на которых можно избежать возможных отходов. Чтобы извлечь максимальную пользу из наших драгоценных природных ресурсов, они должны циркулировать между различными экономическими субъектами. Фермеры, производители, розничные торговцы и потребители должны точно знать, что они покупают в плане продуктов питания, тканей, кормов, топлива и другого природного сырья. Приведенная ниже </w:t>
      </w:r>
      <w:proofErr w:type="spellStart"/>
      <w:r w:rsidRPr="001D5B4B">
        <w:rPr>
          <w:rFonts w:ascii="Times New Roman" w:hAnsi="Times New Roman" w:cs="Times New Roman"/>
          <w:sz w:val="24"/>
          <w:szCs w:val="24"/>
          <w:lang w:eastAsia="ru-RU"/>
        </w:rPr>
        <w:t>инфографика</w:t>
      </w:r>
      <w:proofErr w:type="spellEnd"/>
      <w:r w:rsidRPr="001D5B4B">
        <w:rPr>
          <w:rFonts w:ascii="Times New Roman" w:hAnsi="Times New Roman" w:cs="Times New Roman"/>
          <w:sz w:val="24"/>
          <w:szCs w:val="24"/>
          <w:lang w:eastAsia="ru-RU"/>
        </w:rPr>
        <w:t xml:space="preserve"> иллюстрирует, как инструменты оценки соответствия применяются на протяжении всего биологического цикла, обеспечивая прозрачность и уверенность.</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noProof/>
          <w:color w:val="0000FF"/>
          <w:sz w:val="24"/>
          <w:szCs w:val="24"/>
          <w:lang w:eastAsia="ru-RU"/>
        </w:rPr>
        <mc:AlternateContent>
          <mc:Choice Requires="wps">
            <w:drawing>
              <wp:inline distT="0" distB="0" distL="0" distR="0">
                <wp:extent cx="304800" cy="304800"/>
                <wp:effectExtent l="0" t="0" r="0" b="0"/>
                <wp:docPr id="1" name="Прямоугольник 1" descr="From the field to the plate, from the woods to the paper shredder, there are many stages along the food and fibre value chains where waste can be avoided. To get the most out of our precious natural resources, these need to circulate among the different economic actors. Farmers, manufacturers, retailers and consumers need to know exactly what they are buying in terms of food, fabrics, fodder, fuel and other natural raw materials. This infographic illustrates how conformity assessment tools apply throughout the biological cycle, providing transparency and assurance. ">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8915A4" id="Прямоугольник 1" o:spid="_x0000_s1026" alt="From the field to the plate, from the woods to the paper shredder, there are many stages along the food and fibre value chains where waste can be avoided. To get the most out of our precious natural resources, these need to circulate among the different economic actors. Farmers, manufacturers, retailers and consumers need to know exactly what they are buying in terms of food, fabrics, fodder, fuel and other natural raw materials. This infographic illustrates how conformity assessment tools apply throughout the biological cycle, providing transparency and assurance. " href="https://www.iso.org/files/live/sites/isoorg/files/news/insights/circular-economy/CASCO_c-economy-bio-cycles.sv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" o:button="t" filled="f" stroked="f">
                <v:fill o:detectmouseclick="t"/>
                <o:lock v:ext="edit" aspectratio="t"/>
                <w10:anchorlock/>
              </v:rect>
            </w:pict>
          </mc:Fallback>
        </mc:AlternateConten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Деятельность по оценке соответствия помогает максимизировать восстановление питательных веществ и энергии в рамках биологических циклов.</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xml:space="preserve">Чтобы лучше понять различные процессы, описанные в данной </w:t>
      </w:r>
      <w:proofErr w:type="spellStart"/>
      <w:r w:rsidRPr="001D5B4B">
        <w:rPr>
          <w:rFonts w:ascii="Times New Roman" w:hAnsi="Times New Roman" w:cs="Times New Roman"/>
          <w:sz w:val="24"/>
          <w:szCs w:val="24"/>
          <w:lang w:eastAsia="ru-RU"/>
        </w:rPr>
        <w:t>инфографике</w:t>
      </w:r>
      <w:proofErr w:type="spellEnd"/>
      <w:r w:rsidRPr="001D5B4B">
        <w:rPr>
          <w:rFonts w:ascii="Times New Roman" w:hAnsi="Times New Roman" w:cs="Times New Roman"/>
          <w:sz w:val="24"/>
          <w:szCs w:val="24"/>
          <w:lang w:eastAsia="ru-RU"/>
        </w:rPr>
        <w:t>, и то, как деятельность по оценке соответствия может способствовать развитию экономики замкнутого цикла, ознакомьтесь с приведенными ниже примерами из нашей практики.</w:t>
      </w:r>
    </w:p>
    <w:p w:rsidR="00862D77" w:rsidRPr="001D5B4B" w:rsidRDefault="00862D77" w:rsidP="001D5B4B">
      <w:pPr>
        <w:pStyle w:val="a8"/>
        <w:ind w:left="-993"/>
        <w:jc w:val="both"/>
        <w:rPr>
          <w:rFonts w:ascii="Times New Roman" w:hAnsi="Times New Roman" w:cs="Times New Roman"/>
          <w:spacing w:val="-16"/>
          <w:sz w:val="24"/>
          <w:szCs w:val="24"/>
          <w:lang w:eastAsia="ru-RU"/>
        </w:rPr>
      </w:pPr>
      <w:r w:rsidRPr="001D5B4B">
        <w:rPr>
          <w:rFonts w:ascii="Times New Roman" w:hAnsi="Times New Roman" w:cs="Times New Roman"/>
          <w:spacing w:val="-16"/>
          <w:sz w:val="24"/>
          <w:szCs w:val="24"/>
          <w:lang w:eastAsia="ru-RU"/>
        </w:rPr>
        <w:t>Проблемы и решения – случаи из практики</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xml:space="preserve">Инструменты CASCO дают ответы на ряд вопросов, которые участники рынка будут задавать себе, вступая на путь к более циркулярной экономике. Приведенные ниже примеры помогут вам лучше понять приведенную выше </w:t>
      </w:r>
      <w:proofErr w:type="spellStart"/>
      <w:r w:rsidRPr="001D5B4B">
        <w:rPr>
          <w:rFonts w:ascii="Times New Roman" w:hAnsi="Times New Roman" w:cs="Times New Roman"/>
          <w:sz w:val="24"/>
          <w:szCs w:val="24"/>
          <w:lang w:eastAsia="ru-RU"/>
        </w:rPr>
        <w:t>инфографику</w:t>
      </w:r>
      <w:proofErr w:type="spellEnd"/>
      <w:r w:rsidRPr="001D5B4B">
        <w:rPr>
          <w:rFonts w:ascii="Times New Roman" w:hAnsi="Times New Roman" w:cs="Times New Roman"/>
          <w:sz w:val="24"/>
          <w:szCs w:val="24"/>
          <w:lang w:eastAsia="ru-RU"/>
        </w:rPr>
        <w:t>, иллюстрирующую два типа циркулярных потоков ресурсов.</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Проблемы и решения – случаи из практики</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Краткие примеры из практики</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Постановление о более безопасной утилизации европейских судов</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Более безопасное управление асбестом с помощью аккредитованных инспекционных органов</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Сертификация повышает амбиции по снижению воздействия мероприятий</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Если вы хотите поделиться с нами другими примерами оценки соответствия, повышающими доверие к циркулярной экономике, вы можете связаться с нами, </w:t>
      </w:r>
      <w:hyperlink r:id="rId21" w:history="1">
        <w:r w:rsidRPr="001D5B4B">
          <w:rPr>
            <w:rFonts w:ascii="Times New Roman" w:hAnsi="Times New Roman" w:cs="Times New Roman"/>
            <w:color w:val="0000FF"/>
            <w:sz w:val="24"/>
            <w:szCs w:val="24"/>
            <w:u w:val="single"/>
            <w:lang w:eastAsia="ru-RU"/>
          </w:rPr>
          <w:t>нажав на эту ссылку</w:t>
        </w:r>
      </w:hyperlink>
      <w:r w:rsidRPr="001D5B4B">
        <w:rPr>
          <w:rFonts w:ascii="Times New Roman" w:hAnsi="Times New Roman" w:cs="Times New Roman"/>
          <w:sz w:val="24"/>
          <w:szCs w:val="24"/>
          <w:lang w:eastAsia="ru-RU"/>
        </w:rPr>
        <w:t>.</w:t>
      </w:r>
    </w:p>
    <w:p w:rsidR="00FA336D" w:rsidRPr="001D5B4B" w:rsidRDefault="00FA336D" w:rsidP="001D5B4B">
      <w:pPr>
        <w:pStyle w:val="a8"/>
        <w:ind w:left="-993"/>
        <w:jc w:val="both"/>
        <w:rPr>
          <w:rFonts w:ascii="Times New Roman" w:hAnsi="Times New Roman" w:cs="Times New Roman"/>
          <w:sz w:val="24"/>
          <w:szCs w:val="24"/>
        </w:rPr>
      </w:pPr>
    </w:p>
    <w:sectPr w:rsidR="00FA336D" w:rsidRPr="001D5B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DA1D3C"/>
    <w:multiLevelType w:val="multilevel"/>
    <w:tmpl w:val="6E1CC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7A5566"/>
    <w:multiLevelType w:val="multilevel"/>
    <w:tmpl w:val="C1162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8108C6"/>
    <w:multiLevelType w:val="multilevel"/>
    <w:tmpl w:val="AD2E4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AEB"/>
    <w:rsid w:val="001D5B4B"/>
    <w:rsid w:val="00233767"/>
    <w:rsid w:val="00655AEB"/>
    <w:rsid w:val="00862D77"/>
    <w:rsid w:val="00FA33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C5E100D8-482F-4055-A732-831E2CD04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862D7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62D7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862D7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862D7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62D7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862D77"/>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862D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62D77"/>
    <w:rPr>
      <w:b/>
      <w:bCs/>
    </w:rPr>
  </w:style>
  <w:style w:type="character" w:styleId="a5">
    <w:name w:val="Hyperlink"/>
    <w:basedOn w:val="a0"/>
    <w:uiPriority w:val="99"/>
    <w:semiHidden/>
    <w:unhideWhenUsed/>
    <w:rsid w:val="00862D77"/>
    <w:rPr>
      <w:color w:val="0000FF"/>
      <w:u w:val="single"/>
    </w:rPr>
  </w:style>
  <w:style w:type="paragraph" w:styleId="z-">
    <w:name w:val="HTML Top of Form"/>
    <w:basedOn w:val="a"/>
    <w:next w:val="a"/>
    <w:link w:val="z-0"/>
    <w:hidden/>
    <w:uiPriority w:val="99"/>
    <w:semiHidden/>
    <w:unhideWhenUsed/>
    <w:rsid w:val="00862D77"/>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862D77"/>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862D77"/>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862D77"/>
    <w:rPr>
      <w:rFonts w:ascii="Arial" w:eastAsia="Times New Roman" w:hAnsi="Arial" w:cs="Arial"/>
      <w:vanish/>
      <w:sz w:val="16"/>
      <w:szCs w:val="16"/>
      <w:lang w:eastAsia="ru-RU"/>
    </w:rPr>
  </w:style>
  <w:style w:type="paragraph" w:styleId="a6">
    <w:name w:val="Balloon Text"/>
    <w:basedOn w:val="a"/>
    <w:link w:val="a7"/>
    <w:uiPriority w:val="99"/>
    <w:semiHidden/>
    <w:unhideWhenUsed/>
    <w:rsid w:val="00233767"/>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233767"/>
    <w:rPr>
      <w:rFonts w:ascii="Segoe UI" w:hAnsi="Segoe UI" w:cs="Segoe UI"/>
      <w:sz w:val="18"/>
      <w:szCs w:val="18"/>
    </w:rPr>
  </w:style>
  <w:style w:type="paragraph" w:styleId="a8">
    <w:name w:val="No Spacing"/>
    <w:uiPriority w:val="1"/>
    <w:qFormat/>
    <w:rsid w:val="001D5B4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9290143">
      <w:bodyDiv w:val="1"/>
      <w:marLeft w:val="0"/>
      <w:marRight w:val="0"/>
      <w:marTop w:val="0"/>
      <w:marBottom w:val="0"/>
      <w:divBdr>
        <w:top w:val="none" w:sz="0" w:space="0" w:color="auto"/>
        <w:left w:val="none" w:sz="0" w:space="0" w:color="auto"/>
        <w:bottom w:val="none" w:sz="0" w:space="0" w:color="auto"/>
        <w:right w:val="none" w:sz="0" w:space="0" w:color="auto"/>
      </w:divBdr>
      <w:divsChild>
        <w:div w:id="168059963">
          <w:marLeft w:val="0"/>
          <w:marRight w:val="0"/>
          <w:marTop w:val="0"/>
          <w:marBottom w:val="0"/>
          <w:divBdr>
            <w:top w:val="none" w:sz="0" w:space="0" w:color="auto"/>
            <w:left w:val="none" w:sz="0" w:space="0" w:color="auto"/>
            <w:bottom w:val="none" w:sz="0" w:space="0" w:color="auto"/>
            <w:right w:val="none" w:sz="0" w:space="0" w:color="auto"/>
          </w:divBdr>
          <w:divsChild>
            <w:div w:id="66146517">
              <w:marLeft w:val="0"/>
              <w:marRight w:val="0"/>
              <w:marTop w:val="0"/>
              <w:marBottom w:val="0"/>
              <w:divBdr>
                <w:top w:val="none" w:sz="0" w:space="0" w:color="auto"/>
                <w:left w:val="none" w:sz="0" w:space="0" w:color="auto"/>
                <w:bottom w:val="none" w:sz="0" w:space="0" w:color="auto"/>
                <w:right w:val="none" w:sz="0" w:space="0" w:color="auto"/>
              </w:divBdr>
              <w:divsChild>
                <w:div w:id="1683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781839">
          <w:marLeft w:val="0"/>
          <w:marRight w:val="0"/>
          <w:marTop w:val="0"/>
          <w:marBottom w:val="0"/>
          <w:divBdr>
            <w:top w:val="none" w:sz="0" w:space="0" w:color="auto"/>
            <w:left w:val="none" w:sz="0" w:space="0" w:color="auto"/>
            <w:bottom w:val="none" w:sz="0" w:space="0" w:color="auto"/>
            <w:right w:val="none" w:sz="0" w:space="0" w:color="auto"/>
          </w:divBdr>
          <w:divsChild>
            <w:div w:id="998461256">
              <w:marLeft w:val="0"/>
              <w:marRight w:val="0"/>
              <w:marTop w:val="0"/>
              <w:marBottom w:val="0"/>
              <w:divBdr>
                <w:top w:val="none" w:sz="0" w:space="0" w:color="auto"/>
                <w:left w:val="none" w:sz="0" w:space="0" w:color="auto"/>
                <w:bottom w:val="none" w:sz="0" w:space="0" w:color="auto"/>
                <w:right w:val="none" w:sz="0" w:space="0" w:color="auto"/>
              </w:divBdr>
              <w:divsChild>
                <w:div w:id="149005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426935">
          <w:marLeft w:val="0"/>
          <w:marRight w:val="0"/>
          <w:marTop w:val="0"/>
          <w:marBottom w:val="0"/>
          <w:divBdr>
            <w:top w:val="none" w:sz="0" w:space="0" w:color="auto"/>
            <w:left w:val="none" w:sz="0" w:space="0" w:color="auto"/>
            <w:bottom w:val="none" w:sz="0" w:space="0" w:color="auto"/>
            <w:right w:val="none" w:sz="0" w:space="0" w:color="auto"/>
          </w:divBdr>
          <w:divsChild>
            <w:div w:id="107819357">
              <w:marLeft w:val="0"/>
              <w:marRight w:val="0"/>
              <w:marTop w:val="0"/>
              <w:marBottom w:val="0"/>
              <w:divBdr>
                <w:top w:val="none" w:sz="0" w:space="0" w:color="auto"/>
                <w:left w:val="none" w:sz="0" w:space="0" w:color="auto"/>
                <w:bottom w:val="none" w:sz="0" w:space="0" w:color="auto"/>
                <w:right w:val="none" w:sz="0" w:space="0" w:color="auto"/>
              </w:divBdr>
              <w:divsChild>
                <w:div w:id="1747725435">
                  <w:marLeft w:val="0"/>
                  <w:marRight w:val="0"/>
                  <w:marTop w:val="0"/>
                  <w:marBottom w:val="0"/>
                  <w:divBdr>
                    <w:top w:val="none" w:sz="0" w:space="0" w:color="auto"/>
                    <w:left w:val="none" w:sz="0" w:space="0" w:color="auto"/>
                    <w:bottom w:val="none" w:sz="0" w:space="0" w:color="auto"/>
                    <w:right w:val="none" w:sz="0" w:space="0" w:color="auto"/>
                  </w:divBdr>
                </w:div>
                <w:div w:id="347341412">
                  <w:marLeft w:val="0"/>
                  <w:marRight w:val="0"/>
                  <w:marTop w:val="0"/>
                  <w:marBottom w:val="288"/>
                  <w:divBdr>
                    <w:top w:val="none" w:sz="0" w:space="0" w:color="auto"/>
                    <w:left w:val="none" w:sz="0" w:space="0" w:color="auto"/>
                    <w:bottom w:val="none" w:sz="0" w:space="0" w:color="auto"/>
                    <w:right w:val="none" w:sz="0" w:space="0" w:color="auto"/>
                  </w:divBdr>
                  <w:divsChild>
                    <w:div w:id="775909695">
                      <w:marLeft w:val="0"/>
                      <w:marRight w:val="0"/>
                      <w:marTop w:val="0"/>
                      <w:marBottom w:val="0"/>
                      <w:divBdr>
                        <w:top w:val="none" w:sz="0" w:space="0" w:color="auto"/>
                        <w:left w:val="none" w:sz="0" w:space="0" w:color="auto"/>
                        <w:bottom w:val="none" w:sz="0" w:space="0" w:color="auto"/>
                        <w:right w:val="none" w:sz="0" w:space="0" w:color="auto"/>
                      </w:divBdr>
                      <w:divsChild>
                        <w:div w:id="1855262862">
                          <w:marLeft w:val="0"/>
                          <w:marRight w:val="0"/>
                          <w:marTop w:val="0"/>
                          <w:marBottom w:val="0"/>
                          <w:divBdr>
                            <w:top w:val="none" w:sz="0" w:space="0" w:color="auto"/>
                            <w:left w:val="none" w:sz="0" w:space="0" w:color="auto"/>
                            <w:bottom w:val="none" w:sz="0" w:space="0" w:color="auto"/>
                            <w:right w:val="none" w:sz="0" w:space="0" w:color="auto"/>
                          </w:divBdr>
                        </w:div>
                      </w:divsChild>
                    </w:div>
                    <w:div w:id="742143254">
                      <w:marLeft w:val="0"/>
                      <w:marRight w:val="0"/>
                      <w:marTop w:val="0"/>
                      <w:marBottom w:val="0"/>
                      <w:divBdr>
                        <w:top w:val="none" w:sz="0" w:space="0" w:color="auto"/>
                        <w:left w:val="none" w:sz="0" w:space="0" w:color="auto"/>
                        <w:bottom w:val="none" w:sz="0" w:space="0" w:color="auto"/>
                        <w:right w:val="none" w:sz="0" w:space="0" w:color="auto"/>
                      </w:divBdr>
                    </w:div>
                  </w:divsChild>
                </w:div>
                <w:div w:id="814302424">
                  <w:blockQuote w:val="1"/>
                  <w:marLeft w:val="720"/>
                  <w:marRight w:val="720"/>
                  <w:marTop w:val="100"/>
                  <w:marBottom w:val="100"/>
                  <w:divBdr>
                    <w:top w:val="single" w:sz="2" w:space="0" w:color="9C2B42"/>
                    <w:left w:val="single" w:sz="36" w:space="0" w:color="9C2B42"/>
                    <w:bottom w:val="single" w:sz="2" w:space="0" w:color="9C2B42"/>
                    <w:right w:val="single" w:sz="2" w:space="0" w:color="9C2B42"/>
                  </w:divBdr>
                </w:div>
                <w:div w:id="808938235">
                  <w:marLeft w:val="0"/>
                  <w:marRight w:val="0"/>
                  <w:marTop w:val="0"/>
                  <w:marBottom w:val="0"/>
                  <w:divBdr>
                    <w:top w:val="none" w:sz="0" w:space="0" w:color="auto"/>
                    <w:left w:val="none" w:sz="0" w:space="0" w:color="auto"/>
                    <w:bottom w:val="none" w:sz="0" w:space="0" w:color="auto"/>
                    <w:right w:val="none" w:sz="0" w:space="0" w:color="auto"/>
                  </w:divBdr>
                </w:div>
                <w:div w:id="991325202">
                  <w:marLeft w:val="0"/>
                  <w:marRight w:val="0"/>
                  <w:marTop w:val="0"/>
                  <w:marBottom w:val="0"/>
                  <w:divBdr>
                    <w:top w:val="none" w:sz="0" w:space="0" w:color="auto"/>
                    <w:left w:val="none" w:sz="0" w:space="0" w:color="auto"/>
                    <w:bottom w:val="none" w:sz="0" w:space="0" w:color="auto"/>
                    <w:right w:val="none" w:sz="0" w:space="0" w:color="auto"/>
                  </w:divBdr>
                </w:div>
                <w:div w:id="228542020">
                  <w:marLeft w:val="0"/>
                  <w:marRight w:val="0"/>
                  <w:marTop w:val="0"/>
                  <w:marBottom w:val="0"/>
                  <w:divBdr>
                    <w:top w:val="none" w:sz="0" w:space="0" w:color="auto"/>
                    <w:left w:val="none" w:sz="0" w:space="0" w:color="auto"/>
                    <w:bottom w:val="none" w:sz="0" w:space="0" w:color="auto"/>
                    <w:right w:val="none" w:sz="0" w:space="0" w:color="auto"/>
                  </w:divBdr>
                </w:div>
                <w:div w:id="848443606">
                  <w:marLeft w:val="0"/>
                  <w:marRight w:val="0"/>
                  <w:marTop w:val="0"/>
                  <w:marBottom w:val="0"/>
                  <w:divBdr>
                    <w:top w:val="none" w:sz="0" w:space="0" w:color="auto"/>
                    <w:left w:val="none" w:sz="0" w:space="0" w:color="auto"/>
                    <w:bottom w:val="none" w:sz="0" w:space="0" w:color="auto"/>
                    <w:right w:val="none" w:sz="0" w:space="0" w:color="auto"/>
                  </w:divBdr>
                  <w:divsChild>
                    <w:div w:id="898516936">
                      <w:marLeft w:val="0"/>
                      <w:marRight w:val="0"/>
                      <w:marTop w:val="0"/>
                      <w:marBottom w:val="0"/>
                      <w:divBdr>
                        <w:top w:val="none" w:sz="0" w:space="0" w:color="auto"/>
                        <w:left w:val="none" w:sz="0" w:space="0" w:color="auto"/>
                        <w:bottom w:val="none" w:sz="0" w:space="0" w:color="auto"/>
                        <w:right w:val="none" w:sz="0" w:space="0" w:color="auto"/>
                      </w:divBdr>
                    </w:div>
                    <w:div w:id="1625311993">
                      <w:marLeft w:val="0"/>
                      <w:marRight w:val="0"/>
                      <w:marTop w:val="0"/>
                      <w:marBottom w:val="0"/>
                      <w:divBdr>
                        <w:top w:val="none" w:sz="0" w:space="0" w:color="auto"/>
                        <w:left w:val="none" w:sz="0" w:space="0" w:color="auto"/>
                        <w:bottom w:val="none" w:sz="0" w:space="0" w:color="auto"/>
                        <w:right w:val="none" w:sz="0" w:space="0" w:color="auto"/>
                      </w:divBdr>
                    </w:div>
                    <w:div w:id="14589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hyperlink" Target="https://www.iso.org/ru/standard/29352.html" TargetMode="External"/><Relationship Id="rId18" Type="http://schemas.openxmlformats.org/officeDocument/2006/relationships/hyperlink" Target="https://www.iso.org/ru/standard/35516.html" TargetMode="External"/><Relationship Id="rId3" Type="http://schemas.openxmlformats.org/officeDocument/2006/relationships/settings" Target="settings.xml"/><Relationship Id="rId21" Type="http://schemas.openxmlformats.org/officeDocument/2006/relationships/hyperlink" Target="mailto:casco@iso.org?subject=Conformity%20assessment%20in%20the%20circular%20economy%20-%20case%20study%20suggestion" TargetMode="External"/><Relationship Id="rId7" Type="http://schemas.openxmlformats.org/officeDocument/2006/relationships/image" Target="media/image1.wmf"/><Relationship Id="rId12" Type="http://schemas.openxmlformats.org/officeDocument/2006/relationships/hyperlink" Target="https://www.iso.org/ru/standard/29352.html" TargetMode="External"/><Relationship Id="rId17" Type="http://schemas.openxmlformats.org/officeDocument/2006/relationships/hyperlink" Target="https://www.iso.org/ru/standard/67198.html" TargetMode="External"/><Relationship Id="rId2" Type="http://schemas.openxmlformats.org/officeDocument/2006/relationships/styles" Target="styles.xml"/><Relationship Id="rId16" Type="http://schemas.openxmlformats.org/officeDocument/2006/relationships/hyperlink" Target="https://www.iso.org/ru/standard/52993.html" TargetMode="External"/><Relationship Id="rId20" Type="http://schemas.openxmlformats.org/officeDocument/2006/relationships/hyperlink" Target="https://www.iso.org/files/live/sites/isoorg/files/news/insights/circular-economy/CASCO_c-economy-bio-cycles.svg" TargetMode="External"/><Relationship Id="rId1" Type="http://schemas.openxmlformats.org/officeDocument/2006/relationships/numbering" Target="numbering.xml"/><Relationship Id="rId6" Type="http://schemas.openxmlformats.org/officeDocument/2006/relationships/hyperlink" Target="https://www.iso.org/ru/committee/7203984.html" TargetMode="External"/><Relationship Id="rId11" Type="http://schemas.openxmlformats.org/officeDocument/2006/relationships/hyperlink" Target="https://www.iso.org/ru/standard/52994.html" TargetMode="External"/><Relationship Id="rId5" Type="http://schemas.openxmlformats.org/officeDocument/2006/relationships/hyperlink" Target="https://www.iso.org/ru/ClimateAction/LondonDeclaration.html" TargetMode="External"/><Relationship Id="rId15" Type="http://schemas.openxmlformats.org/officeDocument/2006/relationships/hyperlink" Target="https://www.iso.org/ru/standard/46568.html" TargetMode="External"/><Relationship Id="rId23" Type="http://schemas.openxmlformats.org/officeDocument/2006/relationships/theme" Target="theme/theme1.xml"/><Relationship Id="rId10" Type="http://schemas.openxmlformats.org/officeDocument/2006/relationships/hyperlink" Target="https://www.iso.org/ru/standard/66912.html" TargetMode="External"/><Relationship Id="rId19" Type="http://schemas.openxmlformats.org/officeDocument/2006/relationships/hyperlink" Target="https://www.iso.org/ru/standard/78283.html" TargetMode="External"/><Relationship Id="rId4" Type="http://schemas.openxmlformats.org/officeDocument/2006/relationships/webSettings" Target="webSettings.xml"/><Relationship Id="rId9" Type="http://schemas.openxmlformats.org/officeDocument/2006/relationships/hyperlink" Target="https://www.iso.org/ru/contents/data/committee/05/49/54998.html" TargetMode="External"/><Relationship Id="rId14" Type="http://schemas.openxmlformats.org/officeDocument/2006/relationships/hyperlink" Target="https://www.iso.org/ru/standard/61651.html" TargetMode="External"/><Relationship Id="rId22"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2336</Words>
  <Characters>13318</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4</cp:revision>
  <cp:lastPrinted>2024-09-16T11:07:00Z</cp:lastPrinted>
  <dcterms:created xsi:type="dcterms:W3CDTF">2024-09-05T08:05:00Z</dcterms:created>
  <dcterms:modified xsi:type="dcterms:W3CDTF">2024-09-23T10:14:00Z</dcterms:modified>
</cp:coreProperties>
</file>